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40" w:type="dxa"/>
        <w:tblLook w:val="04A0" w:firstRow="1" w:lastRow="0" w:firstColumn="1" w:lastColumn="0" w:noHBand="0" w:noVBand="1"/>
      </w:tblPr>
      <w:tblGrid>
        <w:gridCol w:w="2430"/>
        <w:gridCol w:w="7610"/>
      </w:tblGrid>
      <w:tr w:rsidR="0046151D" w:rsidRPr="0046151D" w14:paraId="2B0CE9A5" w14:textId="77777777" w:rsidTr="008B78B7">
        <w:trPr>
          <w:trHeight w:val="300"/>
        </w:trPr>
        <w:tc>
          <w:tcPr>
            <w:tcW w:w="10040" w:type="dxa"/>
            <w:gridSpan w:val="2"/>
            <w:noWrap/>
            <w:hideMark/>
          </w:tcPr>
          <w:p w14:paraId="7AC3226F" w14:textId="49B47BE2" w:rsidR="0046151D" w:rsidRPr="0046151D" w:rsidRDefault="0046151D" w:rsidP="0046151D">
            <w:pPr>
              <w:spacing w:after="0" w:line="240" w:lineRule="auto"/>
              <w:jc w:val="center"/>
              <w:rPr>
                <w:rFonts w:ascii="Calibri" w:eastAsia="Times New Roman" w:hAnsi="Calibri" w:cs="Calibri"/>
                <w:b/>
                <w:bCs/>
                <w:color w:val="000000"/>
                <w:kern w:val="0"/>
                <w:lang w:bidi="ta-IN"/>
                <w14:ligatures w14:val="none"/>
              </w:rPr>
            </w:pPr>
            <w:r w:rsidRPr="0046151D">
              <w:rPr>
                <w:rFonts w:ascii="Calibri" w:eastAsia="Times New Roman" w:hAnsi="Calibri" w:cs="Calibri"/>
                <w:b/>
                <w:bCs/>
                <w:color w:val="000000"/>
                <w:kern w:val="0"/>
                <w:lang w:bidi="ta-IN"/>
                <w14:ligatures w14:val="none"/>
              </w:rPr>
              <w:t>Amylase, Body Fluid</w:t>
            </w:r>
          </w:p>
        </w:tc>
      </w:tr>
      <w:tr w:rsidR="0046151D" w:rsidRPr="0046151D" w14:paraId="79241907" w14:textId="77777777" w:rsidTr="00433DDB">
        <w:trPr>
          <w:trHeight w:val="300"/>
        </w:trPr>
        <w:tc>
          <w:tcPr>
            <w:tcW w:w="10040" w:type="dxa"/>
            <w:gridSpan w:val="2"/>
            <w:noWrap/>
            <w:hideMark/>
          </w:tcPr>
          <w:p w14:paraId="37E2214B"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53617D7D" w14:textId="77777777" w:rsidTr="0046151D">
        <w:trPr>
          <w:trHeight w:val="300"/>
        </w:trPr>
        <w:tc>
          <w:tcPr>
            <w:tcW w:w="2430" w:type="dxa"/>
            <w:noWrap/>
            <w:hideMark/>
          </w:tcPr>
          <w:p w14:paraId="78E11920" w14:textId="77777777" w:rsidR="0046151D" w:rsidRPr="0046151D" w:rsidRDefault="0046151D" w:rsidP="0046151D">
            <w:pPr>
              <w:spacing w:after="0" w:line="240" w:lineRule="auto"/>
              <w:rPr>
                <w:rFonts w:ascii="Calibri" w:eastAsia="Times New Roman" w:hAnsi="Calibri" w:cs="Calibri"/>
                <w:b/>
                <w:bCs/>
                <w:color w:val="000000"/>
                <w:kern w:val="0"/>
                <w:lang w:bidi="ta-IN"/>
                <w14:ligatures w14:val="none"/>
              </w:rPr>
            </w:pPr>
            <w:r w:rsidRPr="0046151D">
              <w:rPr>
                <w:rFonts w:ascii="Calibri" w:eastAsia="Times New Roman" w:hAnsi="Calibri" w:cs="Calibri"/>
                <w:b/>
                <w:bCs/>
                <w:color w:val="000000"/>
                <w:kern w:val="0"/>
                <w:lang w:bidi="ta-IN"/>
                <w14:ligatures w14:val="none"/>
              </w:rPr>
              <w:t>Amylase, Drain Fluid</w:t>
            </w:r>
          </w:p>
        </w:tc>
        <w:tc>
          <w:tcPr>
            <w:tcW w:w="7610" w:type="dxa"/>
            <w:hideMark/>
          </w:tcPr>
          <w:p w14:paraId="6E8DDCEE" w14:textId="77777777" w:rsidR="0046151D" w:rsidRPr="0046151D" w:rsidRDefault="0046151D" w:rsidP="0046151D">
            <w:pPr>
              <w:spacing w:after="0" w:line="240" w:lineRule="auto"/>
              <w:rPr>
                <w:rFonts w:ascii="Calibri" w:eastAsia="Times New Roman" w:hAnsi="Calibri" w:cs="Calibri"/>
                <w:b/>
                <w:bCs/>
                <w:color w:val="000000"/>
                <w:kern w:val="0"/>
                <w:lang w:bidi="ta-IN"/>
                <w14:ligatures w14:val="none"/>
              </w:rPr>
            </w:pPr>
          </w:p>
        </w:tc>
      </w:tr>
      <w:tr w:rsidR="0046151D" w:rsidRPr="0046151D" w14:paraId="750522AE" w14:textId="77777777" w:rsidTr="0046151D">
        <w:trPr>
          <w:trHeight w:val="300"/>
        </w:trPr>
        <w:tc>
          <w:tcPr>
            <w:tcW w:w="2430" w:type="dxa"/>
            <w:vMerge w:val="restart"/>
            <w:noWrap/>
            <w:hideMark/>
          </w:tcPr>
          <w:p w14:paraId="5E17F4F5"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Clinical Indications</w:t>
            </w:r>
          </w:p>
        </w:tc>
        <w:tc>
          <w:tcPr>
            <w:tcW w:w="7610" w:type="dxa"/>
            <w:hideMark/>
          </w:tcPr>
          <w:p w14:paraId="581D3EF5"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Evaluation of potential pancreatic fistula</w:t>
            </w:r>
          </w:p>
        </w:tc>
      </w:tr>
      <w:tr w:rsidR="0046151D" w:rsidRPr="0046151D" w14:paraId="1640EDDC" w14:textId="77777777" w:rsidTr="0046151D">
        <w:trPr>
          <w:trHeight w:val="300"/>
        </w:trPr>
        <w:tc>
          <w:tcPr>
            <w:tcW w:w="2430" w:type="dxa"/>
            <w:vMerge/>
            <w:noWrap/>
            <w:hideMark/>
          </w:tcPr>
          <w:p w14:paraId="611059B5"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4B4E4F31"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Supportive evidence for source of fluid accumulation</w:t>
            </w:r>
          </w:p>
        </w:tc>
      </w:tr>
      <w:tr w:rsidR="0046151D" w:rsidRPr="0046151D" w14:paraId="30E85BBF" w14:textId="77777777" w:rsidTr="0046151D">
        <w:trPr>
          <w:trHeight w:val="300"/>
        </w:trPr>
        <w:tc>
          <w:tcPr>
            <w:tcW w:w="2430" w:type="dxa"/>
            <w:noWrap/>
            <w:hideMark/>
          </w:tcPr>
          <w:p w14:paraId="53F1C958"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7DC60630"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1C615927" w14:textId="77777777" w:rsidTr="0046151D">
        <w:trPr>
          <w:trHeight w:val="600"/>
        </w:trPr>
        <w:tc>
          <w:tcPr>
            <w:tcW w:w="2430" w:type="dxa"/>
            <w:vMerge w:val="restart"/>
            <w:noWrap/>
            <w:hideMark/>
          </w:tcPr>
          <w:p w14:paraId="5D146F0C"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Reference Interval and/or Interpretive Information</w:t>
            </w:r>
          </w:p>
        </w:tc>
        <w:tc>
          <w:tcPr>
            <w:tcW w:w="7610" w:type="dxa"/>
            <w:hideMark/>
          </w:tcPr>
          <w:p w14:paraId="73F51631"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Drain fluid amylase should be interpreted in the context of source and in correlation with serum results and/or other clinical evidence.</w:t>
            </w:r>
          </w:p>
        </w:tc>
      </w:tr>
      <w:tr w:rsidR="0046151D" w:rsidRPr="0046151D" w14:paraId="56E34407" w14:textId="77777777" w:rsidTr="0046151D">
        <w:trPr>
          <w:trHeight w:val="1205"/>
        </w:trPr>
        <w:tc>
          <w:tcPr>
            <w:tcW w:w="2430" w:type="dxa"/>
            <w:vMerge/>
            <w:noWrap/>
            <w:hideMark/>
          </w:tcPr>
          <w:p w14:paraId="5DA5F0AD"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420F0FF0"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After pancreaticoduodenectomy, postoperative pancreatic fistula has been defined by the International Study Group on Pancreatic Fistula Definition (ISGPF) as “a drain output of any measurable volume of fluid on or after postoperative day 3 with an amylase content greater than 3 times the serum amylase activity.” [1]</w:t>
            </w:r>
          </w:p>
        </w:tc>
      </w:tr>
      <w:tr w:rsidR="0046151D" w:rsidRPr="0046151D" w14:paraId="7B8807BC" w14:textId="77777777" w:rsidTr="00F04C1B">
        <w:trPr>
          <w:trHeight w:val="300"/>
        </w:trPr>
        <w:tc>
          <w:tcPr>
            <w:tcW w:w="10040" w:type="dxa"/>
            <w:gridSpan w:val="2"/>
            <w:noWrap/>
            <w:hideMark/>
          </w:tcPr>
          <w:p w14:paraId="3BB7215F"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3AF03CCD" w14:textId="77777777" w:rsidTr="0046151D">
        <w:trPr>
          <w:trHeight w:val="600"/>
        </w:trPr>
        <w:tc>
          <w:tcPr>
            <w:tcW w:w="2430" w:type="dxa"/>
            <w:noWrap/>
            <w:hideMark/>
          </w:tcPr>
          <w:p w14:paraId="2C9DA96A"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References</w:t>
            </w:r>
          </w:p>
        </w:tc>
        <w:tc>
          <w:tcPr>
            <w:tcW w:w="7610" w:type="dxa"/>
            <w:hideMark/>
          </w:tcPr>
          <w:p w14:paraId="37791390"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[1] Bassi C, et al. Postoperative pancreatic fistula: an international study group (ISGPF) definition. Surgery. 2005;138(1):8–13.</w:t>
            </w:r>
          </w:p>
        </w:tc>
      </w:tr>
      <w:tr w:rsidR="0046151D" w:rsidRPr="0046151D" w14:paraId="12A88B77" w14:textId="77777777" w:rsidTr="00766635">
        <w:trPr>
          <w:trHeight w:val="300"/>
        </w:trPr>
        <w:tc>
          <w:tcPr>
            <w:tcW w:w="10040" w:type="dxa"/>
            <w:gridSpan w:val="2"/>
            <w:noWrap/>
            <w:hideMark/>
          </w:tcPr>
          <w:p w14:paraId="5719C507"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426616DB" w14:textId="77777777" w:rsidTr="00504491">
        <w:trPr>
          <w:trHeight w:val="300"/>
        </w:trPr>
        <w:tc>
          <w:tcPr>
            <w:tcW w:w="10040" w:type="dxa"/>
            <w:gridSpan w:val="2"/>
            <w:noWrap/>
            <w:hideMark/>
          </w:tcPr>
          <w:p w14:paraId="4A127D84" w14:textId="2FB5C447" w:rsidR="0046151D" w:rsidRPr="0046151D" w:rsidRDefault="0046151D" w:rsidP="0046151D">
            <w:pPr>
              <w:spacing w:after="0" w:line="240" w:lineRule="auto"/>
              <w:rPr>
                <w:rFonts w:ascii="Calibri" w:eastAsia="Times New Roman" w:hAnsi="Calibri" w:cs="Calibri"/>
                <w:b/>
                <w:bCs/>
                <w:color w:val="000000"/>
                <w:kern w:val="0"/>
                <w:lang w:bidi="ta-IN"/>
                <w14:ligatures w14:val="none"/>
              </w:rPr>
            </w:pPr>
            <w:r w:rsidRPr="0046151D">
              <w:rPr>
                <w:rFonts w:ascii="Calibri" w:eastAsia="Times New Roman" w:hAnsi="Calibri" w:cs="Calibri"/>
                <w:b/>
                <w:bCs/>
                <w:color w:val="000000"/>
                <w:kern w:val="0"/>
                <w:lang w:bidi="ta-IN"/>
                <w14:ligatures w14:val="none"/>
              </w:rPr>
              <w:t>Pancreatic Fluid Amylase</w:t>
            </w:r>
          </w:p>
        </w:tc>
      </w:tr>
      <w:tr w:rsidR="0046151D" w:rsidRPr="0046151D" w14:paraId="56E97A36" w14:textId="77777777" w:rsidTr="0046151D">
        <w:trPr>
          <w:trHeight w:val="440"/>
        </w:trPr>
        <w:tc>
          <w:tcPr>
            <w:tcW w:w="2430" w:type="dxa"/>
            <w:noWrap/>
            <w:hideMark/>
          </w:tcPr>
          <w:p w14:paraId="6187AA98"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Clinical Indications</w:t>
            </w:r>
          </w:p>
        </w:tc>
        <w:tc>
          <w:tcPr>
            <w:tcW w:w="7610" w:type="dxa"/>
            <w:hideMark/>
          </w:tcPr>
          <w:p w14:paraId="2CA87DA9"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Supportive evidence in the differentiation of pancreatic cysts from pseudocysts</w:t>
            </w:r>
          </w:p>
        </w:tc>
      </w:tr>
      <w:tr w:rsidR="0046151D" w:rsidRPr="0046151D" w14:paraId="5812DEF0" w14:textId="77777777" w:rsidTr="00412A5A">
        <w:trPr>
          <w:trHeight w:val="300"/>
        </w:trPr>
        <w:tc>
          <w:tcPr>
            <w:tcW w:w="10040" w:type="dxa"/>
            <w:gridSpan w:val="2"/>
            <w:noWrap/>
            <w:hideMark/>
          </w:tcPr>
          <w:p w14:paraId="2F0B1AE0"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7F8EBA56" w14:textId="77777777" w:rsidTr="0046151D">
        <w:trPr>
          <w:trHeight w:val="1115"/>
        </w:trPr>
        <w:tc>
          <w:tcPr>
            <w:tcW w:w="2430" w:type="dxa"/>
            <w:noWrap/>
            <w:hideMark/>
          </w:tcPr>
          <w:p w14:paraId="66FF75AD"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Reference Interval and/or Interpretive Information</w:t>
            </w:r>
          </w:p>
        </w:tc>
        <w:tc>
          <w:tcPr>
            <w:tcW w:w="7610" w:type="dxa"/>
            <w:hideMark/>
          </w:tcPr>
          <w:p w14:paraId="71525B8A"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In the context of pancreatic cyst versus pseudocyst differentiation, a pancreatic fluid amylase activity &lt;250 U/L (the upper limit of the normal serum value for amylase in a meta-analysis) is evidence against the possibility that the fluid collection represents a pseudocyst. [1]</w:t>
            </w:r>
          </w:p>
        </w:tc>
      </w:tr>
      <w:tr w:rsidR="0046151D" w:rsidRPr="0046151D" w14:paraId="5820DFEE" w14:textId="77777777" w:rsidTr="00B71C57">
        <w:trPr>
          <w:trHeight w:val="300"/>
        </w:trPr>
        <w:tc>
          <w:tcPr>
            <w:tcW w:w="10040" w:type="dxa"/>
            <w:gridSpan w:val="2"/>
            <w:noWrap/>
            <w:hideMark/>
          </w:tcPr>
          <w:p w14:paraId="14DC07B8"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141079BF" w14:textId="77777777" w:rsidTr="0046151D">
        <w:trPr>
          <w:trHeight w:val="900"/>
        </w:trPr>
        <w:tc>
          <w:tcPr>
            <w:tcW w:w="2430" w:type="dxa"/>
            <w:noWrap/>
            <w:hideMark/>
          </w:tcPr>
          <w:p w14:paraId="003B8F3F"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References</w:t>
            </w:r>
          </w:p>
        </w:tc>
        <w:tc>
          <w:tcPr>
            <w:tcW w:w="7610" w:type="dxa"/>
            <w:hideMark/>
          </w:tcPr>
          <w:p w14:paraId="07F318F1"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 xml:space="preserve">[1] Van der </w:t>
            </w:r>
            <w:proofErr w:type="spellStart"/>
            <w:r w:rsidRPr="0046151D">
              <w:rPr>
                <w:rFonts w:ascii="Calibri" w:eastAsia="Times New Roman" w:hAnsi="Calibri" w:cs="Calibri"/>
                <w:color w:val="000000"/>
                <w:kern w:val="0"/>
                <w:lang w:bidi="ta-IN"/>
                <w14:ligatures w14:val="none"/>
              </w:rPr>
              <w:t>Waaij</w:t>
            </w:r>
            <w:proofErr w:type="spellEnd"/>
            <w:r w:rsidRPr="0046151D">
              <w:rPr>
                <w:rFonts w:ascii="Calibri" w:eastAsia="Times New Roman" w:hAnsi="Calibri" w:cs="Calibri"/>
                <w:color w:val="000000"/>
                <w:kern w:val="0"/>
                <w:lang w:bidi="ta-IN"/>
                <w14:ligatures w14:val="none"/>
              </w:rPr>
              <w:t xml:space="preserve"> LA, et al. Cyst fluid analysis in the differential diagnosis of pancreatic cystic lesions: a pooled analysis. </w:t>
            </w:r>
            <w:proofErr w:type="spellStart"/>
            <w:r w:rsidRPr="0046151D">
              <w:rPr>
                <w:rFonts w:ascii="Calibri" w:eastAsia="Times New Roman" w:hAnsi="Calibri" w:cs="Calibri"/>
                <w:color w:val="000000"/>
                <w:kern w:val="0"/>
                <w:lang w:bidi="ta-IN"/>
                <w14:ligatures w14:val="none"/>
              </w:rPr>
              <w:t>Gastrointest</w:t>
            </w:r>
            <w:proofErr w:type="spellEnd"/>
            <w:r w:rsidRPr="0046151D">
              <w:rPr>
                <w:rFonts w:ascii="Calibri" w:eastAsia="Times New Roman" w:hAnsi="Calibri" w:cs="Calibri"/>
                <w:color w:val="000000"/>
                <w:kern w:val="0"/>
                <w:lang w:bidi="ta-IN"/>
                <w14:ligatures w14:val="none"/>
              </w:rPr>
              <w:t xml:space="preserve"> </w:t>
            </w:r>
            <w:proofErr w:type="spellStart"/>
            <w:r w:rsidRPr="0046151D">
              <w:rPr>
                <w:rFonts w:ascii="Calibri" w:eastAsia="Times New Roman" w:hAnsi="Calibri" w:cs="Calibri"/>
                <w:color w:val="000000"/>
                <w:kern w:val="0"/>
                <w:lang w:bidi="ta-IN"/>
                <w14:ligatures w14:val="none"/>
              </w:rPr>
              <w:t>Endosc</w:t>
            </w:r>
            <w:proofErr w:type="spellEnd"/>
            <w:r w:rsidRPr="0046151D">
              <w:rPr>
                <w:rFonts w:ascii="Calibri" w:eastAsia="Times New Roman" w:hAnsi="Calibri" w:cs="Calibri"/>
                <w:color w:val="000000"/>
                <w:kern w:val="0"/>
                <w:lang w:bidi="ta-IN"/>
                <w14:ligatures w14:val="none"/>
              </w:rPr>
              <w:t>. 2005;62(3):383–9.</w:t>
            </w:r>
          </w:p>
        </w:tc>
      </w:tr>
      <w:tr w:rsidR="0046151D" w:rsidRPr="0046151D" w14:paraId="70897116" w14:textId="77777777" w:rsidTr="00874284">
        <w:trPr>
          <w:trHeight w:val="300"/>
        </w:trPr>
        <w:tc>
          <w:tcPr>
            <w:tcW w:w="10040" w:type="dxa"/>
            <w:gridSpan w:val="2"/>
            <w:noWrap/>
            <w:hideMark/>
          </w:tcPr>
          <w:p w14:paraId="4D3E77DE"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03B632CA" w14:textId="77777777" w:rsidTr="005D0166">
        <w:trPr>
          <w:trHeight w:val="300"/>
        </w:trPr>
        <w:tc>
          <w:tcPr>
            <w:tcW w:w="10040" w:type="dxa"/>
            <w:gridSpan w:val="2"/>
            <w:noWrap/>
            <w:hideMark/>
          </w:tcPr>
          <w:p w14:paraId="7EA464A6" w14:textId="5B0E6C64" w:rsidR="0046151D" w:rsidRPr="0046151D" w:rsidRDefault="0046151D" w:rsidP="0046151D">
            <w:pPr>
              <w:spacing w:after="0" w:line="240" w:lineRule="auto"/>
              <w:rPr>
                <w:rFonts w:ascii="Calibri" w:eastAsia="Times New Roman" w:hAnsi="Calibri" w:cs="Calibri"/>
                <w:b/>
                <w:bCs/>
                <w:color w:val="000000"/>
                <w:kern w:val="0"/>
                <w:lang w:bidi="ta-IN"/>
                <w14:ligatures w14:val="none"/>
              </w:rPr>
            </w:pPr>
            <w:r w:rsidRPr="0046151D">
              <w:rPr>
                <w:rFonts w:ascii="Calibri" w:eastAsia="Times New Roman" w:hAnsi="Calibri" w:cs="Calibri"/>
                <w:b/>
                <w:bCs/>
                <w:color w:val="000000"/>
                <w:kern w:val="0"/>
                <w:lang w:bidi="ta-IN"/>
                <w14:ligatures w14:val="none"/>
              </w:rPr>
              <w:t>Peritoneal/​Ascites Fluid Amylase</w:t>
            </w:r>
          </w:p>
        </w:tc>
      </w:tr>
      <w:tr w:rsidR="0046151D" w:rsidRPr="0046151D" w14:paraId="550C9DA0" w14:textId="77777777" w:rsidTr="0046151D">
        <w:trPr>
          <w:trHeight w:val="300"/>
        </w:trPr>
        <w:tc>
          <w:tcPr>
            <w:tcW w:w="2430" w:type="dxa"/>
            <w:noWrap/>
            <w:hideMark/>
          </w:tcPr>
          <w:p w14:paraId="7FC713DF"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Clinical Indications</w:t>
            </w:r>
          </w:p>
        </w:tc>
        <w:tc>
          <w:tcPr>
            <w:tcW w:w="7610" w:type="dxa"/>
            <w:hideMark/>
          </w:tcPr>
          <w:p w14:paraId="13523D76"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Evaluation of pancreatic ascites</w:t>
            </w:r>
          </w:p>
        </w:tc>
      </w:tr>
      <w:tr w:rsidR="0046151D" w:rsidRPr="0046151D" w14:paraId="6A8D25CB" w14:textId="77777777" w:rsidTr="00DB322E">
        <w:trPr>
          <w:trHeight w:val="300"/>
        </w:trPr>
        <w:tc>
          <w:tcPr>
            <w:tcW w:w="10040" w:type="dxa"/>
            <w:gridSpan w:val="2"/>
            <w:noWrap/>
            <w:hideMark/>
          </w:tcPr>
          <w:p w14:paraId="2952DA4B"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7FC34986" w14:textId="77777777" w:rsidTr="0046151D">
        <w:trPr>
          <w:trHeight w:val="600"/>
        </w:trPr>
        <w:tc>
          <w:tcPr>
            <w:tcW w:w="2430" w:type="dxa"/>
            <w:vMerge w:val="restart"/>
            <w:noWrap/>
            <w:hideMark/>
          </w:tcPr>
          <w:p w14:paraId="43EFBF94"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Reference Interval and/or Interpretive Information</w:t>
            </w:r>
          </w:p>
        </w:tc>
        <w:tc>
          <w:tcPr>
            <w:tcW w:w="7610" w:type="dxa"/>
            <w:hideMark/>
          </w:tcPr>
          <w:p w14:paraId="5F955AA5"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 xml:space="preserve">In normal peritoneal fluid, amylase activity is comparable to that observed in serum or </w:t>
            </w:r>
            <w:proofErr w:type="gramStart"/>
            <w:r w:rsidRPr="0046151D">
              <w:rPr>
                <w:rFonts w:ascii="Calibri" w:eastAsia="Times New Roman" w:hAnsi="Calibri" w:cs="Calibri"/>
                <w:color w:val="000000"/>
                <w:kern w:val="0"/>
                <w:lang w:bidi="ta-IN"/>
                <w14:ligatures w14:val="none"/>
              </w:rPr>
              <w:t>plasma.[</w:t>
            </w:r>
            <w:proofErr w:type="gramEnd"/>
            <w:r w:rsidRPr="0046151D">
              <w:rPr>
                <w:rFonts w:ascii="Calibri" w:eastAsia="Times New Roman" w:hAnsi="Calibri" w:cs="Calibri"/>
                <w:color w:val="000000"/>
                <w:kern w:val="0"/>
                <w:lang w:bidi="ta-IN"/>
                <w14:ligatures w14:val="none"/>
              </w:rPr>
              <w:t>1,2]</w:t>
            </w:r>
          </w:p>
        </w:tc>
      </w:tr>
      <w:tr w:rsidR="0046151D" w:rsidRPr="0046151D" w14:paraId="6C4182A5" w14:textId="77777777" w:rsidTr="0046151D">
        <w:trPr>
          <w:trHeight w:val="900"/>
        </w:trPr>
        <w:tc>
          <w:tcPr>
            <w:tcW w:w="2430" w:type="dxa"/>
            <w:vMerge/>
            <w:noWrap/>
            <w:hideMark/>
          </w:tcPr>
          <w:p w14:paraId="01E894DE"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52A3AD70"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 xml:space="preserve">Pancreatic ascites may be associated with peritoneal amylase activity 3–5 times greater than a corresponding serum or plasma </w:t>
            </w:r>
            <w:proofErr w:type="gramStart"/>
            <w:r w:rsidRPr="0046151D">
              <w:rPr>
                <w:rFonts w:ascii="Calibri" w:eastAsia="Times New Roman" w:hAnsi="Calibri" w:cs="Calibri"/>
                <w:color w:val="000000"/>
                <w:kern w:val="0"/>
                <w:lang w:bidi="ta-IN"/>
                <w14:ligatures w14:val="none"/>
              </w:rPr>
              <w:t>level.[</w:t>
            </w:r>
            <w:proofErr w:type="gramEnd"/>
            <w:r w:rsidRPr="0046151D">
              <w:rPr>
                <w:rFonts w:ascii="Calibri" w:eastAsia="Times New Roman" w:hAnsi="Calibri" w:cs="Calibri"/>
                <w:color w:val="000000"/>
                <w:kern w:val="0"/>
                <w:lang w:bidi="ta-IN"/>
                <w14:ligatures w14:val="none"/>
              </w:rPr>
              <w:t>1,2,3]</w:t>
            </w:r>
          </w:p>
        </w:tc>
      </w:tr>
      <w:tr w:rsidR="0046151D" w:rsidRPr="0046151D" w14:paraId="37FDDCEF" w14:textId="77777777" w:rsidTr="0046151D">
        <w:trPr>
          <w:trHeight w:val="600"/>
        </w:trPr>
        <w:tc>
          <w:tcPr>
            <w:tcW w:w="2430" w:type="dxa"/>
            <w:vMerge/>
            <w:noWrap/>
            <w:hideMark/>
          </w:tcPr>
          <w:p w14:paraId="283DE66F"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69BDF8C7"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Routine analysis of peritoneal fluid amylase activity is usually not clinically indicated.[1]</w:t>
            </w:r>
          </w:p>
        </w:tc>
      </w:tr>
      <w:tr w:rsidR="0046151D" w:rsidRPr="0046151D" w14:paraId="330E5362" w14:textId="77777777" w:rsidTr="00AB6976">
        <w:trPr>
          <w:trHeight w:val="300"/>
        </w:trPr>
        <w:tc>
          <w:tcPr>
            <w:tcW w:w="10040" w:type="dxa"/>
            <w:gridSpan w:val="2"/>
            <w:noWrap/>
            <w:hideMark/>
          </w:tcPr>
          <w:p w14:paraId="3A498F61"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747542B0" w14:textId="77777777" w:rsidTr="0046151D">
        <w:trPr>
          <w:trHeight w:val="900"/>
        </w:trPr>
        <w:tc>
          <w:tcPr>
            <w:tcW w:w="2430" w:type="dxa"/>
            <w:vMerge w:val="restart"/>
            <w:noWrap/>
            <w:hideMark/>
          </w:tcPr>
          <w:p w14:paraId="47A19398"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References</w:t>
            </w:r>
          </w:p>
        </w:tc>
        <w:tc>
          <w:tcPr>
            <w:tcW w:w="7610" w:type="dxa"/>
            <w:hideMark/>
          </w:tcPr>
          <w:p w14:paraId="1CA80284"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[1] Kjeldsberg CR, et al. Chapter 6: Peritoneal fluid. In: Hussong JW and Kjeldsberg CR, eds. Kjeldsberg’s Body Fluid Analysis. Chicago, IL: ASCP Press; 2015.</w:t>
            </w:r>
          </w:p>
        </w:tc>
      </w:tr>
      <w:tr w:rsidR="0046151D" w:rsidRPr="0046151D" w14:paraId="27A58A83" w14:textId="77777777" w:rsidTr="0046151D">
        <w:trPr>
          <w:trHeight w:val="600"/>
        </w:trPr>
        <w:tc>
          <w:tcPr>
            <w:tcW w:w="2430" w:type="dxa"/>
            <w:vMerge/>
            <w:noWrap/>
            <w:hideMark/>
          </w:tcPr>
          <w:p w14:paraId="518C57BE"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100EECF7"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[2] Runyon BA. Amylase levels in ascitic fluid. J Clin Gastroenterol. 1987;9(2): 172–4.</w:t>
            </w:r>
          </w:p>
        </w:tc>
      </w:tr>
      <w:tr w:rsidR="0046151D" w:rsidRPr="0046151D" w14:paraId="50CE52B2" w14:textId="77777777" w:rsidTr="0046151D">
        <w:trPr>
          <w:trHeight w:val="600"/>
        </w:trPr>
        <w:tc>
          <w:tcPr>
            <w:tcW w:w="2430" w:type="dxa"/>
            <w:vMerge/>
            <w:noWrap/>
            <w:hideMark/>
          </w:tcPr>
          <w:p w14:paraId="14BF81B5"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11DFC67D"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[3] Block DR, et al. Quick Guide to Body Fluid Testing. Washington, DC: AACC Press; 2015.</w:t>
            </w:r>
          </w:p>
        </w:tc>
      </w:tr>
      <w:tr w:rsidR="0046151D" w:rsidRPr="0046151D" w14:paraId="1554C876" w14:textId="77777777" w:rsidTr="00363536">
        <w:trPr>
          <w:trHeight w:val="300"/>
        </w:trPr>
        <w:tc>
          <w:tcPr>
            <w:tcW w:w="10040" w:type="dxa"/>
            <w:gridSpan w:val="2"/>
            <w:noWrap/>
            <w:hideMark/>
          </w:tcPr>
          <w:p w14:paraId="4963D0F9"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7E5B758E" w14:textId="77777777" w:rsidTr="0046151D">
        <w:trPr>
          <w:trHeight w:val="300"/>
        </w:trPr>
        <w:tc>
          <w:tcPr>
            <w:tcW w:w="2430" w:type="dxa"/>
            <w:noWrap/>
            <w:hideMark/>
          </w:tcPr>
          <w:p w14:paraId="709B0ED6" w14:textId="77777777" w:rsidR="0046151D" w:rsidRPr="0046151D" w:rsidRDefault="0046151D" w:rsidP="0046151D">
            <w:pPr>
              <w:spacing w:after="0" w:line="240" w:lineRule="auto"/>
              <w:rPr>
                <w:rFonts w:ascii="Calibri" w:eastAsia="Times New Roman" w:hAnsi="Calibri" w:cs="Calibri"/>
                <w:b/>
                <w:bCs/>
                <w:color w:val="000000"/>
                <w:kern w:val="0"/>
                <w:lang w:bidi="ta-IN"/>
                <w14:ligatures w14:val="none"/>
              </w:rPr>
            </w:pPr>
            <w:r w:rsidRPr="0046151D">
              <w:rPr>
                <w:rFonts w:ascii="Calibri" w:eastAsia="Times New Roman" w:hAnsi="Calibri" w:cs="Calibri"/>
                <w:b/>
                <w:bCs/>
                <w:color w:val="000000"/>
                <w:kern w:val="0"/>
                <w:lang w:bidi="ta-IN"/>
                <w14:ligatures w14:val="none"/>
              </w:rPr>
              <w:t>Pleural Fluid Amylase</w:t>
            </w:r>
          </w:p>
        </w:tc>
        <w:tc>
          <w:tcPr>
            <w:tcW w:w="7610" w:type="dxa"/>
            <w:hideMark/>
          </w:tcPr>
          <w:p w14:paraId="07951BE3" w14:textId="77777777" w:rsidR="0046151D" w:rsidRPr="0046151D" w:rsidRDefault="0046151D" w:rsidP="0046151D">
            <w:pPr>
              <w:spacing w:after="0" w:line="240" w:lineRule="auto"/>
              <w:rPr>
                <w:rFonts w:ascii="Calibri" w:eastAsia="Times New Roman" w:hAnsi="Calibri" w:cs="Calibri"/>
                <w:b/>
                <w:bCs/>
                <w:color w:val="000000"/>
                <w:kern w:val="0"/>
                <w:lang w:bidi="ta-IN"/>
                <w14:ligatures w14:val="none"/>
              </w:rPr>
            </w:pPr>
          </w:p>
        </w:tc>
      </w:tr>
      <w:tr w:rsidR="0046151D" w:rsidRPr="0046151D" w14:paraId="56E33701" w14:textId="77777777" w:rsidTr="0046151D">
        <w:trPr>
          <w:trHeight w:val="600"/>
        </w:trPr>
        <w:tc>
          <w:tcPr>
            <w:tcW w:w="2430" w:type="dxa"/>
            <w:vMerge w:val="restart"/>
            <w:noWrap/>
            <w:hideMark/>
          </w:tcPr>
          <w:p w14:paraId="15B9BB3B"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Clinical Indications</w:t>
            </w:r>
          </w:p>
        </w:tc>
        <w:tc>
          <w:tcPr>
            <w:tcW w:w="7610" w:type="dxa"/>
            <w:hideMark/>
          </w:tcPr>
          <w:p w14:paraId="1150769E"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 xml:space="preserve">Routine analysis of pleural fluid amylase activity with pleural effusion is usually not clinically </w:t>
            </w:r>
            <w:proofErr w:type="gramStart"/>
            <w:r w:rsidRPr="0046151D">
              <w:rPr>
                <w:rFonts w:ascii="Calibri" w:eastAsia="Times New Roman" w:hAnsi="Calibri" w:cs="Calibri"/>
                <w:color w:val="000000"/>
                <w:kern w:val="0"/>
                <w:lang w:bidi="ta-IN"/>
                <w14:ligatures w14:val="none"/>
              </w:rPr>
              <w:t>indicated.[</w:t>
            </w:r>
            <w:proofErr w:type="gramEnd"/>
            <w:r w:rsidRPr="0046151D">
              <w:rPr>
                <w:rFonts w:ascii="Calibri" w:eastAsia="Times New Roman" w:hAnsi="Calibri" w:cs="Calibri"/>
                <w:color w:val="000000"/>
                <w:kern w:val="0"/>
                <w:lang w:bidi="ta-IN"/>
                <w14:ligatures w14:val="none"/>
              </w:rPr>
              <w:t>1,2]</w:t>
            </w:r>
          </w:p>
        </w:tc>
      </w:tr>
      <w:tr w:rsidR="0046151D" w:rsidRPr="0046151D" w14:paraId="0A0F90B0" w14:textId="77777777" w:rsidTr="0046151D">
        <w:trPr>
          <w:trHeight w:val="900"/>
        </w:trPr>
        <w:tc>
          <w:tcPr>
            <w:tcW w:w="2430" w:type="dxa"/>
            <w:vMerge/>
            <w:noWrap/>
            <w:hideMark/>
          </w:tcPr>
          <w:p w14:paraId="65C216A0"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61EADC3A"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Use has been suggested when there is an elevated pretest probability of acute pancreatitis, chronic pancreatic disease, or esophageal rupture.[2]</w:t>
            </w:r>
          </w:p>
        </w:tc>
      </w:tr>
      <w:tr w:rsidR="0046151D" w:rsidRPr="0046151D" w14:paraId="79F75BE6" w14:textId="77777777" w:rsidTr="0046151D">
        <w:trPr>
          <w:trHeight w:val="600"/>
        </w:trPr>
        <w:tc>
          <w:tcPr>
            <w:tcW w:w="2430" w:type="dxa"/>
            <w:vMerge/>
            <w:noWrap/>
            <w:hideMark/>
          </w:tcPr>
          <w:p w14:paraId="122E6DD5"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1A383935"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May also provide supportive evidence in the evaluation of suspected pancreatic-pleural fistula.[3]</w:t>
            </w:r>
          </w:p>
        </w:tc>
      </w:tr>
      <w:tr w:rsidR="0046151D" w:rsidRPr="0046151D" w14:paraId="0EE50A02" w14:textId="77777777" w:rsidTr="00A872BA">
        <w:trPr>
          <w:trHeight w:val="300"/>
        </w:trPr>
        <w:tc>
          <w:tcPr>
            <w:tcW w:w="10040" w:type="dxa"/>
            <w:gridSpan w:val="2"/>
            <w:noWrap/>
            <w:hideMark/>
          </w:tcPr>
          <w:p w14:paraId="4DC80E9A"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2804575B" w14:textId="77777777" w:rsidTr="0046151D">
        <w:trPr>
          <w:trHeight w:val="900"/>
        </w:trPr>
        <w:tc>
          <w:tcPr>
            <w:tcW w:w="2430" w:type="dxa"/>
            <w:vMerge w:val="restart"/>
            <w:noWrap/>
            <w:hideMark/>
          </w:tcPr>
          <w:p w14:paraId="03BD9CF6"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Reference Interval and/or Interpretive Information</w:t>
            </w:r>
          </w:p>
        </w:tc>
        <w:tc>
          <w:tcPr>
            <w:tcW w:w="7610" w:type="dxa"/>
            <w:hideMark/>
          </w:tcPr>
          <w:p w14:paraId="1C3B3F9E"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Elevated pleural fluid amylase activity is a level greater than the upper reference limit for serum and a fluid-to-serum amylase ratio of &gt;1.4</w:t>
            </w:r>
          </w:p>
        </w:tc>
      </w:tr>
      <w:tr w:rsidR="0046151D" w:rsidRPr="0046151D" w14:paraId="3E6B03B2" w14:textId="77777777" w:rsidTr="0046151D">
        <w:trPr>
          <w:trHeight w:val="1500"/>
        </w:trPr>
        <w:tc>
          <w:tcPr>
            <w:tcW w:w="2430" w:type="dxa"/>
            <w:vMerge/>
            <w:noWrap/>
            <w:hideMark/>
          </w:tcPr>
          <w:p w14:paraId="4998186C"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6AEDC352"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While high pleural amylase levels have also been associated with some malignancy-related pleural effusions (such as adenocarcinoma) in some reports [5,6,7], use for such evaluations is generally not suggested (due to specificity concerns) and would be considered secondary to more specific methods such as cytology.</w:t>
            </w:r>
          </w:p>
        </w:tc>
      </w:tr>
      <w:tr w:rsidR="0046151D" w:rsidRPr="0046151D" w14:paraId="4FD6D147" w14:textId="77777777" w:rsidTr="00901201">
        <w:trPr>
          <w:trHeight w:val="300"/>
        </w:trPr>
        <w:tc>
          <w:tcPr>
            <w:tcW w:w="10040" w:type="dxa"/>
            <w:gridSpan w:val="2"/>
            <w:noWrap/>
            <w:hideMark/>
          </w:tcPr>
          <w:p w14:paraId="15433F0F"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5E5C24BB" w14:textId="77777777" w:rsidTr="0046151D">
        <w:trPr>
          <w:trHeight w:val="900"/>
        </w:trPr>
        <w:tc>
          <w:tcPr>
            <w:tcW w:w="2430" w:type="dxa"/>
            <w:vMerge w:val="restart"/>
            <w:noWrap/>
            <w:hideMark/>
          </w:tcPr>
          <w:p w14:paraId="7F277EC9"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References</w:t>
            </w:r>
          </w:p>
        </w:tc>
        <w:tc>
          <w:tcPr>
            <w:tcW w:w="7610" w:type="dxa"/>
            <w:hideMark/>
          </w:tcPr>
          <w:p w14:paraId="2937D7BD"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[1] Kjeldsberg CR, et al. Chapter 5: Pleural and pericardial fluid. In: Hussong JW and Kjeldsberg CR, eds. Kjeldsberg’s Body Fluid Analysis. Chicago, IL: ASCP Press; 2015.</w:t>
            </w:r>
          </w:p>
        </w:tc>
      </w:tr>
      <w:tr w:rsidR="0046151D" w:rsidRPr="0046151D" w14:paraId="3A054304" w14:textId="77777777" w:rsidTr="0046151D">
        <w:trPr>
          <w:trHeight w:val="600"/>
        </w:trPr>
        <w:tc>
          <w:tcPr>
            <w:tcW w:w="2430" w:type="dxa"/>
            <w:vMerge/>
            <w:noWrap/>
            <w:hideMark/>
          </w:tcPr>
          <w:p w14:paraId="0FFA072F"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05F2431C"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[2] Branca P, et al. Routine measurement of pleural fluid amylase is not indicated. Arch Intern Med. 2001;161(2):228–32.</w:t>
            </w:r>
          </w:p>
        </w:tc>
      </w:tr>
      <w:tr w:rsidR="0046151D" w:rsidRPr="0046151D" w14:paraId="6CD1BC3A" w14:textId="77777777" w:rsidTr="0046151D">
        <w:trPr>
          <w:trHeight w:val="600"/>
        </w:trPr>
        <w:tc>
          <w:tcPr>
            <w:tcW w:w="2430" w:type="dxa"/>
            <w:vMerge/>
            <w:noWrap/>
            <w:hideMark/>
          </w:tcPr>
          <w:p w14:paraId="76E8D2FB"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5CF2E1EA"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 xml:space="preserve">[3] </w:t>
            </w:r>
            <w:proofErr w:type="spellStart"/>
            <w:r w:rsidRPr="0046151D">
              <w:rPr>
                <w:rFonts w:ascii="Calibri" w:eastAsia="Times New Roman" w:hAnsi="Calibri" w:cs="Calibri"/>
                <w:color w:val="000000"/>
                <w:kern w:val="0"/>
                <w:lang w:bidi="ta-IN"/>
                <w14:ligatures w14:val="none"/>
              </w:rPr>
              <w:t>Elkaoui</w:t>
            </w:r>
            <w:proofErr w:type="spellEnd"/>
            <w:r w:rsidRPr="0046151D">
              <w:rPr>
                <w:rFonts w:ascii="Calibri" w:eastAsia="Times New Roman" w:hAnsi="Calibri" w:cs="Calibri"/>
                <w:color w:val="000000"/>
                <w:kern w:val="0"/>
                <w:lang w:bidi="ta-IN"/>
                <w14:ligatures w14:val="none"/>
              </w:rPr>
              <w:t xml:space="preserve"> H, et al. Pancreatic-pleural fistula in chronic pancreatitis. Arab J Gastroenterol. 2012;13(1):38–40.</w:t>
            </w:r>
          </w:p>
        </w:tc>
      </w:tr>
      <w:tr w:rsidR="0046151D" w:rsidRPr="0046151D" w14:paraId="465D01BB" w14:textId="77777777" w:rsidTr="0046151D">
        <w:trPr>
          <w:trHeight w:val="600"/>
        </w:trPr>
        <w:tc>
          <w:tcPr>
            <w:tcW w:w="2430" w:type="dxa"/>
            <w:vMerge/>
            <w:noWrap/>
            <w:hideMark/>
          </w:tcPr>
          <w:p w14:paraId="452EDE54"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32140DAA"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[4] Sahn SA. Getting the most from pleural fluid analysis. Respirology. 2012;17: 270–7.</w:t>
            </w:r>
          </w:p>
        </w:tc>
      </w:tr>
      <w:tr w:rsidR="0046151D" w:rsidRPr="0046151D" w14:paraId="17B79531" w14:textId="77777777" w:rsidTr="0046151D">
        <w:trPr>
          <w:trHeight w:val="900"/>
        </w:trPr>
        <w:tc>
          <w:tcPr>
            <w:tcW w:w="2430" w:type="dxa"/>
            <w:vMerge/>
            <w:noWrap/>
            <w:hideMark/>
          </w:tcPr>
          <w:p w14:paraId="79184E01"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34756BDC"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[5] Clinical and Laboratory Standards Institute. C49-A Analysis of body fluids in clinical chemistry. https://clsi.org/media/1353/c49a_sample.pdf.</w:t>
            </w:r>
          </w:p>
        </w:tc>
      </w:tr>
      <w:tr w:rsidR="0046151D" w:rsidRPr="0046151D" w14:paraId="65E1BCDD" w14:textId="77777777" w:rsidTr="0046151D">
        <w:trPr>
          <w:trHeight w:val="600"/>
        </w:trPr>
        <w:tc>
          <w:tcPr>
            <w:tcW w:w="2430" w:type="dxa"/>
            <w:vMerge/>
            <w:noWrap/>
            <w:hideMark/>
          </w:tcPr>
          <w:p w14:paraId="78E32A1A"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3DD31537"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 xml:space="preserve">[6] Kramer MR, et al. High amylase levels in neoplasm-related pleural effusion. Ann Intern Med. </w:t>
            </w:r>
            <w:proofErr w:type="gramStart"/>
            <w:r w:rsidRPr="0046151D">
              <w:rPr>
                <w:rFonts w:ascii="Calibri" w:eastAsia="Times New Roman" w:hAnsi="Calibri" w:cs="Calibri"/>
                <w:color w:val="000000"/>
                <w:kern w:val="0"/>
                <w:lang w:bidi="ta-IN"/>
                <w14:ligatures w14:val="none"/>
              </w:rPr>
              <w:t>1989;110:567</w:t>
            </w:r>
            <w:proofErr w:type="gramEnd"/>
            <w:r w:rsidRPr="0046151D">
              <w:rPr>
                <w:rFonts w:ascii="Calibri" w:eastAsia="Times New Roman" w:hAnsi="Calibri" w:cs="Calibri"/>
                <w:color w:val="000000"/>
                <w:kern w:val="0"/>
                <w:lang w:bidi="ta-IN"/>
                <w14:ligatures w14:val="none"/>
              </w:rPr>
              <w:t>–9.</w:t>
            </w:r>
          </w:p>
        </w:tc>
      </w:tr>
      <w:tr w:rsidR="0046151D" w:rsidRPr="0046151D" w14:paraId="0B28D2A8" w14:textId="77777777" w:rsidTr="0046151D">
        <w:trPr>
          <w:trHeight w:val="692"/>
        </w:trPr>
        <w:tc>
          <w:tcPr>
            <w:tcW w:w="2430" w:type="dxa"/>
            <w:vMerge/>
            <w:noWrap/>
            <w:hideMark/>
          </w:tcPr>
          <w:p w14:paraId="20175AFB"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p>
        </w:tc>
        <w:tc>
          <w:tcPr>
            <w:tcW w:w="7610" w:type="dxa"/>
            <w:hideMark/>
          </w:tcPr>
          <w:p w14:paraId="3B0A09DA"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[7] Villena V, et al. Amylase levels in pleural effusions: a consecutive unselected series of 841 patients. CHEST. 2002;121(2):470–4.</w:t>
            </w:r>
          </w:p>
        </w:tc>
      </w:tr>
      <w:tr w:rsidR="0046151D" w:rsidRPr="0046151D" w14:paraId="2ADE2DBF" w14:textId="77777777" w:rsidTr="0046151D">
        <w:trPr>
          <w:trHeight w:val="300"/>
        </w:trPr>
        <w:tc>
          <w:tcPr>
            <w:tcW w:w="2430" w:type="dxa"/>
            <w:noWrap/>
            <w:hideMark/>
          </w:tcPr>
          <w:p w14:paraId="082C354E"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c>
          <w:tcPr>
            <w:tcW w:w="7610" w:type="dxa"/>
            <w:hideMark/>
          </w:tcPr>
          <w:p w14:paraId="2305A6D6" w14:textId="77777777" w:rsidR="0046151D" w:rsidRPr="0046151D" w:rsidRDefault="0046151D" w:rsidP="0046151D">
            <w:pPr>
              <w:spacing w:after="0" w:line="240" w:lineRule="auto"/>
              <w:rPr>
                <w:rFonts w:ascii="Times New Roman" w:eastAsia="Times New Roman" w:hAnsi="Times New Roman" w:cs="Times New Roman"/>
                <w:kern w:val="0"/>
                <w:sz w:val="20"/>
                <w:szCs w:val="20"/>
                <w:lang w:bidi="ta-IN"/>
                <w14:ligatures w14:val="none"/>
              </w:rPr>
            </w:pPr>
          </w:p>
        </w:tc>
      </w:tr>
      <w:tr w:rsidR="0046151D" w:rsidRPr="0046151D" w14:paraId="5E886923" w14:textId="77777777" w:rsidTr="0046151D">
        <w:trPr>
          <w:trHeight w:val="300"/>
        </w:trPr>
        <w:tc>
          <w:tcPr>
            <w:tcW w:w="10040" w:type="dxa"/>
            <w:gridSpan w:val="2"/>
            <w:noWrap/>
            <w:hideMark/>
          </w:tcPr>
          <w:p w14:paraId="288DAF3C" w14:textId="77777777" w:rsidR="0046151D" w:rsidRPr="0046151D" w:rsidRDefault="0046151D" w:rsidP="0046151D">
            <w:pPr>
              <w:spacing w:after="0" w:line="240" w:lineRule="auto"/>
              <w:rPr>
                <w:rFonts w:ascii="Calibri" w:eastAsia="Times New Roman" w:hAnsi="Calibri" w:cs="Calibri"/>
                <w:color w:val="000000"/>
                <w:kern w:val="0"/>
                <w:lang w:bidi="ta-IN"/>
                <w14:ligatures w14:val="none"/>
              </w:rPr>
            </w:pPr>
            <w:r w:rsidRPr="0046151D">
              <w:rPr>
                <w:rFonts w:ascii="Calibri" w:eastAsia="Times New Roman" w:hAnsi="Calibri" w:cs="Calibri"/>
                <w:color w:val="000000"/>
                <w:kern w:val="0"/>
                <w:lang w:bidi="ta-IN"/>
                <w14:ligatures w14:val="none"/>
              </w:rPr>
              <w:t>https://www.aruplab.com/bodyfluids</w:t>
            </w:r>
          </w:p>
        </w:tc>
      </w:tr>
    </w:tbl>
    <w:p w14:paraId="7AE7BA21" w14:textId="77777777" w:rsidR="00FD0F62" w:rsidRDefault="00FD0F62"/>
    <w:sectPr w:rsidR="00FD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1D"/>
    <w:rsid w:val="0046151D"/>
    <w:rsid w:val="00FD0F6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B5AF"/>
  <w15:chartTrackingRefBased/>
  <w15:docId w15:val="{5F9FF329-C832-48A3-9797-A1D95574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3563</Characters>
  <Application>Microsoft Office Word</Application>
  <DocSecurity>0</DocSecurity>
  <Lines>29</Lines>
  <Paragraphs>8</Paragraphs>
  <ScaleCrop>false</ScaleCrop>
  <Company>Summa Health System</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Palamalai, Vikram</dc:creator>
  <cp:keywords/>
  <dc:description/>
  <cp:lastModifiedBy>Palamalai, Vikram</cp:lastModifiedBy>
  <cp:revision>1</cp:revision>
  <dcterms:created xsi:type="dcterms:W3CDTF">2024-03-14T17:22:00Z</dcterms:created>
  <dcterms:modified xsi:type="dcterms:W3CDTF">2024-03-14T17:27:00Z</dcterms:modified>
</cp:coreProperties>
</file>