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529"/>
        <w:gridCol w:w="7831"/>
      </w:tblGrid>
      <w:tr w:rsidR="009F78F5" w:rsidRPr="009F78F5" w14:paraId="44BC8FC7" w14:textId="77777777" w:rsidTr="0009258C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392E6A9B" w14:textId="35E1AFF1" w:rsidR="009F78F5" w:rsidRPr="009F78F5" w:rsidRDefault="009F78F5" w:rsidP="009F7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</w:pPr>
            <w:r w:rsidRPr="009F78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  <w:t>Creatinine, Body Fluid</w:t>
            </w:r>
          </w:p>
        </w:tc>
      </w:tr>
      <w:tr w:rsidR="009F78F5" w:rsidRPr="009F78F5" w14:paraId="7425391B" w14:textId="77777777" w:rsidTr="0044375F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2FB95601" w14:textId="77777777" w:rsidR="009F78F5" w:rsidRPr="009F78F5" w:rsidRDefault="009F78F5" w:rsidP="009F7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9F78F5" w:rsidRPr="009F78F5" w14:paraId="081C8493" w14:textId="77777777" w:rsidTr="004D05FB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2816A74A" w14:textId="203AE13E" w:rsidR="009F78F5" w:rsidRPr="009F78F5" w:rsidRDefault="009F78F5" w:rsidP="009F78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</w:pPr>
            <w:r w:rsidRPr="009F78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bidi="ta-IN"/>
                <w14:ligatures w14:val="none"/>
              </w:rPr>
              <w:t>Peritoneal/​Ascites Fluid Creatinine</w:t>
            </w:r>
          </w:p>
        </w:tc>
      </w:tr>
      <w:tr w:rsidR="009F78F5" w:rsidRPr="009F78F5" w14:paraId="62C2FF8F" w14:textId="77777777" w:rsidTr="009F78F5">
        <w:trPr>
          <w:trHeight w:val="300"/>
        </w:trPr>
        <w:tc>
          <w:tcPr>
            <w:tcW w:w="1529" w:type="dxa"/>
            <w:noWrap/>
            <w:hideMark/>
          </w:tcPr>
          <w:p w14:paraId="4916A1D7" w14:textId="77777777" w:rsidR="009F78F5" w:rsidRPr="009F78F5" w:rsidRDefault="009F78F5" w:rsidP="009F7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9F78F5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Clinical Indications</w:t>
            </w:r>
          </w:p>
        </w:tc>
        <w:tc>
          <w:tcPr>
            <w:tcW w:w="7831" w:type="dxa"/>
            <w:noWrap/>
            <w:hideMark/>
          </w:tcPr>
          <w:p w14:paraId="044B95EB" w14:textId="77777777" w:rsidR="009F78F5" w:rsidRPr="009F78F5" w:rsidRDefault="009F78F5" w:rsidP="009F7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9F78F5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Evaluation of urinary tract leakage (UTL)</w:t>
            </w:r>
          </w:p>
        </w:tc>
      </w:tr>
      <w:tr w:rsidR="009F78F5" w:rsidRPr="009F78F5" w14:paraId="78359DA8" w14:textId="77777777" w:rsidTr="00A30990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4F83392F" w14:textId="77777777" w:rsidR="009F78F5" w:rsidRPr="009F78F5" w:rsidRDefault="009F78F5" w:rsidP="009F7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9F78F5" w:rsidRPr="009F78F5" w14:paraId="083DB750" w14:textId="77777777" w:rsidTr="009F78F5">
        <w:trPr>
          <w:trHeight w:val="300"/>
        </w:trPr>
        <w:tc>
          <w:tcPr>
            <w:tcW w:w="1529" w:type="dxa"/>
            <w:vMerge w:val="restart"/>
            <w:noWrap/>
            <w:hideMark/>
          </w:tcPr>
          <w:p w14:paraId="3BEE3137" w14:textId="77777777" w:rsidR="009F78F5" w:rsidRPr="009F78F5" w:rsidRDefault="009F78F5" w:rsidP="009F7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9F78F5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 Interval and/or Interpretive Information</w:t>
            </w:r>
          </w:p>
        </w:tc>
        <w:tc>
          <w:tcPr>
            <w:tcW w:w="7831" w:type="dxa"/>
            <w:noWrap/>
            <w:hideMark/>
          </w:tcPr>
          <w:p w14:paraId="3BE2D622" w14:textId="77777777" w:rsidR="009F78F5" w:rsidRPr="009F78F5" w:rsidRDefault="009F78F5" w:rsidP="009F7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9F78F5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The concentration of creatinine in peritoneal fluid should be equivalent to serum concentration. Higher concentrations of creatinine in peritoneal fluid compared to serum/blood may be indicative of UTL [1,2]</w:t>
            </w:r>
          </w:p>
        </w:tc>
      </w:tr>
      <w:tr w:rsidR="009F78F5" w:rsidRPr="009F78F5" w14:paraId="6EBCB7D1" w14:textId="77777777" w:rsidTr="009F78F5">
        <w:trPr>
          <w:trHeight w:val="300"/>
        </w:trPr>
        <w:tc>
          <w:tcPr>
            <w:tcW w:w="1529" w:type="dxa"/>
            <w:vMerge/>
            <w:noWrap/>
            <w:hideMark/>
          </w:tcPr>
          <w:p w14:paraId="42AE2D30" w14:textId="77777777" w:rsidR="009F78F5" w:rsidRPr="009F78F5" w:rsidRDefault="009F78F5" w:rsidP="009F7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1" w:type="dxa"/>
            <w:noWrap/>
            <w:hideMark/>
          </w:tcPr>
          <w:p w14:paraId="2F085BF6" w14:textId="77777777" w:rsidR="009F78F5" w:rsidRPr="009F78F5" w:rsidRDefault="009F78F5" w:rsidP="009F7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9F78F5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In patients with UTL, the concentrations of peritoneal creatinine were 30-90 times greater than those in blood [1]</w:t>
            </w:r>
          </w:p>
        </w:tc>
      </w:tr>
      <w:tr w:rsidR="009F78F5" w:rsidRPr="009F78F5" w14:paraId="5B2F1B72" w14:textId="77777777" w:rsidTr="009F78F5">
        <w:trPr>
          <w:trHeight w:val="300"/>
        </w:trPr>
        <w:tc>
          <w:tcPr>
            <w:tcW w:w="1529" w:type="dxa"/>
            <w:vMerge/>
            <w:noWrap/>
            <w:hideMark/>
          </w:tcPr>
          <w:p w14:paraId="58E4C9C1" w14:textId="77777777" w:rsidR="009F78F5" w:rsidRPr="009F78F5" w:rsidRDefault="009F78F5" w:rsidP="009F7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1" w:type="dxa"/>
            <w:noWrap/>
            <w:hideMark/>
          </w:tcPr>
          <w:p w14:paraId="5C1CE2A1" w14:textId="77777777" w:rsidR="009F78F5" w:rsidRPr="009F78F5" w:rsidRDefault="009F78F5" w:rsidP="009F7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9F78F5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Creatinine concentration ratio of peritoneal/blood was approximately 49 in patients with UTL [1]</w:t>
            </w:r>
          </w:p>
        </w:tc>
      </w:tr>
      <w:tr w:rsidR="009F78F5" w:rsidRPr="009F78F5" w14:paraId="50880481" w14:textId="77777777" w:rsidTr="00913BB6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6A9AD270" w14:textId="77777777" w:rsidR="009F78F5" w:rsidRPr="009F78F5" w:rsidRDefault="009F78F5" w:rsidP="009F7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9F78F5" w:rsidRPr="009F78F5" w14:paraId="00479320" w14:textId="77777777" w:rsidTr="009F78F5">
        <w:trPr>
          <w:trHeight w:val="300"/>
        </w:trPr>
        <w:tc>
          <w:tcPr>
            <w:tcW w:w="1529" w:type="dxa"/>
            <w:vMerge w:val="restart"/>
            <w:noWrap/>
            <w:hideMark/>
          </w:tcPr>
          <w:p w14:paraId="0D219F55" w14:textId="77777777" w:rsidR="009F78F5" w:rsidRPr="009F78F5" w:rsidRDefault="009F78F5" w:rsidP="009F7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9F78F5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References</w:t>
            </w:r>
          </w:p>
        </w:tc>
        <w:tc>
          <w:tcPr>
            <w:tcW w:w="7831" w:type="dxa"/>
            <w:noWrap/>
            <w:hideMark/>
          </w:tcPr>
          <w:p w14:paraId="5DEA4AE1" w14:textId="77777777" w:rsidR="009F78F5" w:rsidRPr="009F78F5" w:rsidRDefault="009F78F5" w:rsidP="009F7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9F78F5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[1] Wang JH, Kung YH, King TM, Chang MC, Hsu CW. Measurement of peritoneal fluid urea nitrogen and creatinine levels is useful to detect iatrogenic urinary tract leakage in colorectal surgery. J Chin Med Assoc. 2015 May;78(5):283-6. </w:t>
            </w:r>
            <w:proofErr w:type="spellStart"/>
            <w:r w:rsidRPr="009F78F5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doi</w:t>
            </w:r>
            <w:proofErr w:type="spellEnd"/>
            <w:r w:rsidRPr="009F78F5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: 10.1016/j.jcma.2015.01.006. </w:t>
            </w:r>
            <w:proofErr w:type="spellStart"/>
            <w:r w:rsidRPr="009F78F5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Epub</w:t>
            </w:r>
            <w:proofErr w:type="spellEnd"/>
            <w:r w:rsidRPr="009F78F5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2015 Mar 11.</w:t>
            </w:r>
          </w:p>
        </w:tc>
      </w:tr>
      <w:tr w:rsidR="009F78F5" w:rsidRPr="009F78F5" w14:paraId="495A113E" w14:textId="77777777" w:rsidTr="009F78F5">
        <w:trPr>
          <w:trHeight w:val="300"/>
        </w:trPr>
        <w:tc>
          <w:tcPr>
            <w:tcW w:w="1529" w:type="dxa"/>
            <w:vMerge/>
            <w:noWrap/>
            <w:hideMark/>
          </w:tcPr>
          <w:p w14:paraId="54E3EFFE" w14:textId="77777777" w:rsidR="009F78F5" w:rsidRPr="009F78F5" w:rsidRDefault="009F78F5" w:rsidP="009F7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</w:p>
        </w:tc>
        <w:tc>
          <w:tcPr>
            <w:tcW w:w="7831" w:type="dxa"/>
            <w:noWrap/>
            <w:hideMark/>
          </w:tcPr>
          <w:p w14:paraId="477AB40C" w14:textId="77777777" w:rsidR="009F78F5" w:rsidRPr="009F78F5" w:rsidRDefault="009F78F5" w:rsidP="009F7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9F78F5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[2] Manahan KJ, Fanning J. Peritoneal fluid urea nitrogen and creatinine reference values. </w:t>
            </w:r>
            <w:proofErr w:type="spellStart"/>
            <w:r w:rsidRPr="009F78F5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Obstet</w:t>
            </w:r>
            <w:proofErr w:type="spellEnd"/>
            <w:r w:rsidRPr="009F78F5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 xml:space="preserve"> Gynecol. 1999 May;93(5 Pt 1):780-2. </w:t>
            </w:r>
            <w:proofErr w:type="spellStart"/>
            <w:r w:rsidRPr="009F78F5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doi</w:t>
            </w:r>
            <w:proofErr w:type="spellEnd"/>
            <w:r w:rsidRPr="009F78F5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: 10.1016/s0029-7844(98)00516-x. </w:t>
            </w:r>
          </w:p>
        </w:tc>
      </w:tr>
      <w:tr w:rsidR="009F78F5" w:rsidRPr="009F78F5" w14:paraId="1EF5B9A9" w14:textId="77777777" w:rsidTr="009F78F5">
        <w:trPr>
          <w:trHeight w:val="368"/>
        </w:trPr>
        <w:tc>
          <w:tcPr>
            <w:tcW w:w="9360" w:type="dxa"/>
            <w:gridSpan w:val="2"/>
            <w:noWrap/>
            <w:hideMark/>
          </w:tcPr>
          <w:p w14:paraId="7FF617A3" w14:textId="77777777" w:rsidR="009F78F5" w:rsidRPr="009F78F5" w:rsidRDefault="009F78F5" w:rsidP="009F7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ta-IN"/>
                <w14:ligatures w14:val="none"/>
              </w:rPr>
            </w:pPr>
          </w:p>
        </w:tc>
      </w:tr>
      <w:tr w:rsidR="009F78F5" w:rsidRPr="009F78F5" w14:paraId="440013B0" w14:textId="77777777" w:rsidTr="009F78F5">
        <w:trPr>
          <w:trHeight w:val="300"/>
        </w:trPr>
        <w:tc>
          <w:tcPr>
            <w:tcW w:w="9360" w:type="dxa"/>
            <w:gridSpan w:val="2"/>
            <w:noWrap/>
            <w:hideMark/>
          </w:tcPr>
          <w:p w14:paraId="488C28A5" w14:textId="77777777" w:rsidR="009F78F5" w:rsidRPr="009F78F5" w:rsidRDefault="009F78F5" w:rsidP="009F7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</w:pPr>
            <w:r w:rsidRPr="009F78F5">
              <w:rPr>
                <w:rFonts w:ascii="Calibri" w:eastAsia="Times New Roman" w:hAnsi="Calibri" w:cs="Calibri"/>
                <w:color w:val="000000"/>
                <w:kern w:val="0"/>
                <w:lang w:bidi="ta-IN"/>
                <w14:ligatures w14:val="none"/>
              </w:rPr>
              <w:t>https://www.aruplab.com/bodyfluids</w:t>
            </w:r>
          </w:p>
        </w:tc>
      </w:tr>
    </w:tbl>
    <w:p w14:paraId="37D2F952" w14:textId="77777777" w:rsidR="00FD0F62" w:rsidRPr="009F78F5" w:rsidRDefault="00FD0F62" w:rsidP="009F78F5"/>
    <w:sectPr w:rsidR="00FD0F62" w:rsidRPr="009F7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F5"/>
    <w:rsid w:val="009F78F5"/>
    <w:rsid w:val="00F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199E4"/>
  <w15:chartTrackingRefBased/>
  <w15:docId w15:val="{140F6924-30C2-462A-9044-CB811101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Summa Health System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Palamalai, Vikram</dc:creator>
  <cp:keywords/>
  <dc:description/>
  <cp:lastModifiedBy>Palamalai, Vikram</cp:lastModifiedBy>
  <cp:revision>1</cp:revision>
  <dcterms:created xsi:type="dcterms:W3CDTF">2024-03-14T17:34:00Z</dcterms:created>
  <dcterms:modified xsi:type="dcterms:W3CDTF">2024-03-14T17:35:00Z</dcterms:modified>
</cp:coreProperties>
</file>