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87" w:type="dxa"/>
        <w:tblLook w:val="04A0" w:firstRow="1" w:lastRow="0" w:firstColumn="1" w:lastColumn="0" w:noHBand="0" w:noVBand="1"/>
      </w:tblPr>
      <w:tblGrid>
        <w:gridCol w:w="3579"/>
        <w:gridCol w:w="29"/>
        <w:gridCol w:w="5020"/>
        <w:gridCol w:w="2961"/>
        <w:gridCol w:w="98"/>
      </w:tblGrid>
      <w:tr w:rsidR="000E59BD" w:rsidRPr="000E59BD" w14:paraId="2721AF14" w14:textId="77777777" w:rsidTr="008C7D64">
        <w:trPr>
          <w:trHeight w:val="300"/>
        </w:trPr>
        <w:tc>
          <w:tcPr>
            <w:tcW w:w="11687" w:type="dxa"/>
            <w:gridSpan w:val="5"/>
            <w:noWrap/>
            <w:hideMark/>
          </w:tcPr>
          <w:p w14:paraId="58649E81" w14:textId="69089753" w:rsidR="000E59BD" w:rsidRPr="000E59BD" w:rsidRDefault="000E59BD" w:rsidP="000E59BD">
            <w:pPr>
              <w:jc w:val="center"/>
              <w:rPr>
                <w:rFonts w:ascii="Times New Roman" w:eastAsia="Times New Roman" w:hAnsi="Times New Roman" w:cs="Times New Roman"/>
                <w:kern w:val="0"/>
                <w:sz w:val="20"/>
                <w:szCs w:val="20"/>
                <w:lang w:bidi="ta-IN"/>
                <w14:ligatures w14:val="none"/>
              </w:rPr>
            </w:pPr>
            <w:r w:rsidRPr="000E59BD">
              <w:rPr>
                <w:rFonts w:ascii="Calibri" w:eastAsia="Times New Roman" w:hAnsi="Calibri" w:cs="Calibri"/>
                <w:b/>
                <w:bCs/>
                <w:color w:val="000000"/>
                <w:kern w:val="0"/>
                <w:lang w:bidi="ta-IN"/>
                <w14:ligatures w14:val="none"/>
              </w:rPr>
              <w:t>Glucose, Body Fluid</w:t>
            </w:r>
          </w:p>
        </w:tc>
      </w:tr>
      <w:tr w:rsidR="000E59BD" w:rsidRPr="000E59BD" w14:paraId="033B438B" w14:textId="77777777" w:rsidTr="008C7D64">
        <w:trPr>
          <w:trHeight w:val="300"/>
        </w:trPr>
        <w:tc>
          <w:tcPr>
            <w:tcW w:w="11687" w:type="dxa"/>
            <w:gridSpan w:val="5"/>
            <w:noWrap/>
            <w:hideMark/>
          </w:tcPr>
          <w:p w14:paraId="5F4C0A7D"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61639AC2" w14:textId="77777777" w:rsidTr="008C7D64">
        <w:trPr>
          <w:trHeight w:val="300"/>
        </w:trPr>
        <w:tc>
          <w:tcPr>
            <w:tcW w:w="11687" w:type="dxa"/>
            <w:gridSpan w:val="5"/>
            <w:noWrap/>
            <w:hideMark/>
          </w:tcPr>
          <w:p w14:paraId="5022C81B" w14:textId="1ED036D5" w:rsidR="000E59BD" w:rsidRPr="000E59BD" w:rsidRDefault="000E59BD" w:rsidP="000E59BD">
            <w:pPr>
              <w:rPr>
                <w:rFonts w:ascii="Times New Roman" w:eastAsia="Times New Roman" w:hAnsi="Times New Roman" w:cs="Times New Roman"/>
                <w:kern w:val="0"/>
                <w:sz w:val="20"/>
                <w:szCs w:val="20"/>
                <w:lang w:bidi="ta-IN"/>
                <w14:ligatures w14:val="none"/>
              </w:rPr>
            </w:pPr>
            <w:r w:rsidRPr="000E59BD">
              <w:rPr>
                <w:rFonts w:ascii="Calibri" w:eastAsia="Times New Roman" w:hAnsi="Calibri" w:cs="Calibri"/>
                <w:b/>
                <w:bCs/>
                <w:color w:val="000000"/>
                <w:kern w:val="0"/>
                <w:lang w:bidi="ta-IN"/>
                <w14:ligatures w14:val="none"/>
              </w:rPr>
              <w:t>CSF Glucose</w:t>
            </w:r>
          </w:p>
        </w:tc>
      </w:tr>
      <w:tr w:rsidR="000E59BD" w:rsidRPr="000E59BD" w14:paraId="4CC58353" w14:textId="77777777" w:rsidTr="008C7D64">
        <w:trPr>
          <w:trHeight w:val="300"/>
        </w:trPr>
        <w:tc>
          <w:tcPr>
            <w:tcW w:w="3608" w:type="dxa"/>
            <w:gridSpan w:val="2"/>
            <w:noWrap/>
            <w:hideMark/>
          </w:tcPr>
          <w:p w14:paraId="4534F458"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Clinical Indications</w:t>
            </w:r>
          </w:p>
        </w:tc>
        <w:tc>
          <w:tcPr>
            <w:tcW w:w="8079" w:type="dxa"/>
            <w:gridSpan w:val="3"/>
            <w:noWrap/>
            <w:hideMark/>
          </w:tcPr>
          <w:p w14:paraId="1B8EB514"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Supportive information for the differentiation of bacterial, fungal, and viral CNS infection</w:t>
            </w:r>
          </w:p>
        </w:tc>
      </w:tr>
      <w:tr w:rsidR="000E59BD" w:rsidRPr="000E59BD" w14:paraId="48883B91" w14:textId="77777777" w:rsidTr="008C7D64">
        <w:trPr>
          <w:trHeight w:val="300"/>
        </w:trPr>
        <w:tc>
          <w:tcPr>
            <w:tcW w:w="11687" w:type="dxa"/>
            <w:gridSpan w:val="5"/>
            <w:noWrap/>
            <w:hideMark/>
          </w:tcPr>
          <w:p w14:paraId="1410187D"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5A6994DD" w14:textId="77777777" w:rsidTr="008C7D64">
        <w:trPr>
          <w:trHeight w:val="300"/>
        </w:trPr>
        <w:tc>
          <w:tcPr>
            <w:tcW w:w="3608" w:type="dxa"/>
            <w:gridSpan w:val="2"/>
            <w:vMerge w:val="restart"/>
            <w:noWrap/>
            <w:hideMark/>
          </w:tcPr>
          <w:p w14:paraId="2D620072"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 Interval and/or Interpretive Information</w:t>
            </w:r>
          </w:p>
        </w:tc>
        <w:tc>
          <w:tcPr>
            <w:tcW w:w="5020" w:type="dxa"/>
            <w:noWrap/>
            <w:hideMark/>
          </w:tcPr>
          <w:p w14:paraId="23B7D5EE"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CSF [1]</w:t>
            </w:r>
          </w:p>
        </w:tc>
        <w:tc>
          <w:tcPr>
            <w:tcW w:w="3059" w:type="dxa"/>
            <w:gridSpan w:val="2"/>
            <w:noWrap/>
            <w:hideMark/>
          </w:tcPr>
          <w:p w14:paraId="5E96CDFF"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mg/dL</w:t>
            </w:r>
          </w:p>
        </w:tc>
      </w:tr>
      <w:tr w:rsidR="000E59BD" w:rsidRPr="000E59BD" w14:paraId="328D8163" w14:textId="77777777" w:rsidTr="008C7D64">
        <w:trPr>
          <w:trHeight w:val="300"/>
        </w:trPr>
        <w:tc>
          <w:tcPr>
            <w:tcW w:w="3608" w:type="dxa"/>
            <w:gridSpan w:val="2"/>
            <w:vMerge/>
            <w:noWrap/>
            <w:hideMark/>
          </w:tcPr>
          <w:p w14:paraId="1F80CB56" w14:textId="77777777" w:rsidR="000E59BD" w:rsidRPr="000E59BD" w:rsidRDefault="000E59BD" w:rsidP="000E59BD">
            <w:pPr>
              <w:rPr>
                <w:rFonts w:ascii="Calibri" w:eastAsia="Times New Roman" w:hAnsi="Calibri" w:cs="Calibri"/>
                <w:color w:val="000000"/>
                <w:kern w:val="0"/>
                <w:lang w:bidi="ta-IN"/>
                <w14:ligatures w14:val="none"/>
              </w:rPr>
            </w:pPr>
          </w:p>
        </w:tc>
        <w:tc>
          <w:tcPr>
            <w:tcW w:w="5020" w:type="dxa"/>
            <w:noWrap/>
            <w:hideMark/>
          </w:tcPr>
          <w:p w14:paraId="2B056F0C"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Infant, Child</w:t>
            </w:r>
          </w:p>
        </w:tc>
        <w:tc>
          <w:tcPr>
            <w:tcW w:w="3059" w:type="dxa"/>
            <w:gridSpan w:val="2"/>
            <w:noWrap/>
            <w:hideMark/>
          </w:tcPr>
          <w:p w14:paraId="0A81D9CF"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60 - 80</w:t>
            </w:r>
          </w:p>
        </w:tc>
      </w:tr>
      <w:tr w:rsidR="000E59BD" w:rsidRPr="000E59BD" w14:paraId="5EFE7B5D" w14:textId="77777777" w:rsidTr="008C7D64">
        <w:trPr>
          <w:trHeight w:val="300"/>
        </w:trPr>
        <w:tc>
          <w:tcPr>
            <w:tcW w:w="3608" w:type="dxa"/>
            <w:gridSpan w:val="2"/>
            <w:vMerge/>
            <w:noWrap/>
            <w:hideMark/>
          </w:tcPr>
          <w:p w14:paraId="79A98CBA" w14:textId="77777777" w:rsidR="000E59BD" w:rsidRPr="000E59BD" w:rsidRDefault="000E59BD" w:rsidP="000E59BD">
            <w:pPr>
              <w:rPr>
                <w:rFonts w:ascii="Calibri" w:eastAsia="Times New Roman" w:hAnsi="Calibri" w:cs="Calibri"/>
                <w:color w:val="000000"/>
                <w:kern w:val="0"/>
                <w:lang w:bidi="ta-IN"/>
                <w14:ligatures w14:val="none"/>
              </w:rPr>
            </w:pPr>
          </w:p>
        </w:tc>
        <w:tc>
          <w:tcPr>
            <w:tcW w:w="5020" w:type="dxa"/>
            <w:noWrap/>
            <w:hideMark/>
          </w:tcPr>
          <w:p w14:paraId="7888ACA2"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Adult</w:t>
            </w:r>
          </w:p>
        </w:tc>
        <w:tc>
          <w:tcPr>
            <w:tcW w:w="3059" w:type="dxa"/>
            <w:gridSpan w:val="2"/>
            <w:noWrap/>
            <w:hideMark/>
          </w:tcPr>
          <w:p w14:paraId="2E53C6CD"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40 - 70</w:t>
            </w:r>
          </w:p>
        </w:tc>
      </w:tr>
      <w:tr w:rsidR="000E59BD" w:rsidRPr="000E59BD" w14:paraId="1043B9A9" w14:textId="77777777" w:rsidTr="008C7D64">
        <w:trPr>
          <w:trHeight w:val="300"/>
        </w:trPr>
        <w:tc>
          <w:tcPr>
            <w:tcW w:w="11687" w:type="dxa"/>
            <w:gridSpan w:val="5"/>
            <w:noWrap/>
            <w:hideMark/>
          </w:tcPr>
          <w:p w14:paraId="2DA78FC8"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4C5ECF0B" w14:textId="77777777" w:rsidTr="008C7D64">
        <w:trPr>
          <w:trHeight w:val="300"/>
        </w:trPr>
        <w:tc>
          <w:tcPr>
            <w:tcW w:w="3608" w:type="dxa"/>
            <w:gridSpan w:val="2"/>
            <w:noWrap/>
            <w:hideMark/>
          </w:tcPr>
          <w:p w14:paraId="11363F3F"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References</w:t>
            </w:r>
          </w:p>
        </w:tc>
        <w:tc>
          <w:tcPr>
            <w:tcW w:w="8079" w:type="dxa"/>
            <w:gridSpan w:val="3"/>
            <w:noWrap/>
            <w:hideMark/>
          </w:tcPr>
          <w:p w14:paraId="692505DD"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[1] Burtis CA, Ashwood ER, Bruns DE, editors. Tietz Textbook of Clinical Chemistry and Molecular Diagnostics, 5th ed. St. Louis, MO: Elsevier Saunders; 2012:2149</w:t>
            </w:r>
          </w:p>
        </w:tc>
      </w:tr>
      <w:tr w:rsidR="000E59BD" w:rsidRPr="000E59BD" w14:paraId="5C44D80C" w14:textId="77777777" w:rsidTr="008C7D64">
        <w:trPr>
          <w:trHeight w:val="300"/>
        </w:trPr>
        <w:tc>
          <w:tcPr>
            <w:tcW w:w="11687" w:type="dxa"/>
            <w:gridSpan w:val="5"/>
            <w:noWrap/>
            <w:hideMark/>
          </w:tcPr>
          <w:p w14:paraId="2B14E93F"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46C602F2" w14:textId="77777777" w:rsidTr="008C7D64">
        <w:trPr>
          <w:trHeight w:val="300"/>
        </w:trPr>
        <w:tc>
          <w:tcPr>
            <w:tcW w:w="11687" w:type="dxa"/>
            <w:gridSpan w:val="5"/>
            <w:noWrap/>
            <w:hideMark/>
          </w:tcPr>
          <w:p w14:paraId="3AEA3A29" w14:textId="5188FE42" w:rsidR="000E59BD" w:rsidRPr="000E59BD" w:rsidRDefault="000E59BD" w:rsidP="000E59BD">
            <w:pPr>
              <w:rPr>
                <w:rFonts w:ascii="Times New Roman" w:eastAsia="Times New Roman" w:hAnsi="Times New Roman" w:cs="Times New Roman"/>
                <w:kern w:val="0"/>
                <w:sz w:val="20"/>
                <w:szCs w:val="20"/>
                <w:lang w:bidi="ta-IN"/>
                <w14:ligatures w14:val="none"/>
              </w:rPr>
            </w:pPr>
            <w:r w:rsidRPr="000E59BD">
              <w:rPr>
                <w:rFonts w:ascii="Calibri" w:eastAsia="Times New Roman" w:hAnsi="Calibri" w:cs="Calibri"/>
                <w:b/>
                <w:bCs/>
                <w:color w:val="000000"/>
                <w:kern w:val="0"/>
                <w:lang w:bidi="ta-IN"/>
                <w14:ligatures w14:val="none"/>
              </w:rPr>
              <w:t>Pericardial Fluid Glucose</w:t>
            </w:r>
          </w:p>
        </w:tc>
      </w:tr>
      <w:tr w:rsidR="000E59BD" w:rsidRPr="000E59BD" w14:paraId="3138C9F7" w14:textId="77777777" w:rsidTr="008C7D64">
        <w:trPr>
          <w:trHeight w:val="300"/>
        </w:trPr>
        <w:tc>
          <w:tcPr>
            <w:tcW w:w="3608" w:type="dxa"/>
            <w:gridSpan w:val="2"/>
            <w:noWrap/>
            <w:hideMark/>
          </w:tcPr>
          <w:p w14:paraId="356BE5C4"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Clinical Indications</w:t>
            </w:r>
          </w:p>
        </w:tc>
        <w:tc>
          <w:tcPr>
            <w:tcW w:w="8079" w:type="dxa"/>
            <w:gridSpan w:val="3"/>
            <w:noWrap/>
            <w:hideMark/>
          </w:tcPr>
          <w:p w14:paraId="075A609B"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Supportive evidence for differentiation of exudates and transudates</w:t>
            </w:r>
          </w:p>
        </w:tc>
      </w:tr>
      <w:tr w:rsidR="000E59BD" w:rsidRPr="000E59BD" w14:paraId="4E1546FA" w14:textId="77777777" w:rsidTr="008C7D64">
        <w:trPr>
          <w:trHeight w:val="300"/>
        </w:trPr>
        <w:tc>
          <w:tcPr>
            <w:tcW w:w="11687" w:type="dxa"/>
            <w:gridSpan w:val="5"/>
            <w:noWrap/>
            <w:hideMark/>
          </w:tcPr>
          <w:p w14:paraId="0D854E30"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0C7AA2D2" w14:textId="77777777" w:rsidTr="008C7D64">
        <w:trPr>
          <w:trHeight w:val="300"/>
        </w:trPr>
        <w:tc>
          <w:tcPr>
            <w:tcW w:w="3608" w:type="dxa"/>
            <w:gridSpan w:val="2"/>
            <w:vMerge w:val="restart"/>
            <w:noWrap/>
            <w:hideMark/>
          </w:tcPr>
          <w:p w14:paraId="2150BFDC"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 Interval and/or Interpretive Information</w:t>
            </w:r>
          </w:p>
        </w:tc>
        <w:tc>
          <w:tcPr>
            <w:tcW w:w="8079" w:type="dxa"/>
            <w:gridSpan w:val="3"/>
            <w:noWrap/>
            <w:hideMark/>
          </w:tcPr>
          <w:p w14:paraId="31DD2900"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As supportive information for differentiating exudates from transudates, one study demonstrated that a pericardial fluid-to-serum glucose ratio of &lt;1.0 had a sensitivity of 85%, although a specificity of only 12%. [1]</w:t>
            </w:r>
          </w:p>
        </w:tc>
      </w:tr>
      <w:tr w:rsidR="000E59BD" w:rsidRPr="000E59BD" w14:paraId="0762C1F8" w14:textId="77777777" w:rsidTr="008C7D64">
        <w:trPr>
          <w:trHeight w:val="300"/>
        </w:trPr>
        <w:tc>
          <w:tcPr>
            <w:tcW w:w="3608" w:type="dxa"/>
            <w:gridSpan w:val="2"/>
            <w:vMerge/>
            <w:noWrap/>
            <w:hideMark/>
          </w:tcPr>
          <w:p w14:paraId="57C50025"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3BA36B93"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Pericardial fluid-to-serum glucose ratios were also low in culture-positive effusions. [1]</w:t>
            </w:r>
          </w:p>
        </w:tc>
      </w:tr>
      <w:tr w:rsidR="000E59BD" w:rsidRPr="000E59BD" w14:paraId="4840A179" w14:textId="77777777" w:rsidTr="008C7D64">
        <w:trPr>
          <w:trHeight w:val="300"/>
        </w:trPr>
        <w:tc>
          <w:tcPr>
            <w:tcW w:w="3608" w:type="dxa"/>
            <w:gridSpan w:val="2"/>
            <w:vMerge/>
            <w:noWrap/>
            <w:hideMark/>
          </w:tcPr>
          <w:p w14:paraId="72B7F938"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16E0C70B"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In a study of 30 patients undergoing elective open heart surgery (without evidence of pericardial disease), the “normal” pericardial fluid mean glucose concentration was 133 mg/dL (99% confidence interval, 106-159 mg/dL). [2]</w:t>
            </w:r>
          </w:p>
        </w:tc>
      </w:tr>
      <w:tr w:rsidR="000E59BD" w:rsidRPr="000E59BD" w14:paraId="77BD71ED" w14:textId="77777777" w:rsidTr="008C7D64">
        <w:trPr>
          <w:trHeight w:val="300"/>
        </w:trPr>
        <w:tc>
          <w:tcPr>
            <w:tcW w:w="3608" w:type="dxa"/>
            <w:gridSpan w:val="2"/>
            <w:vMerge/>
            <w:noWrap/>
            <w:hideMark/>
          </w:tcPr>
          <w:p w14:paraId="727F8CCD"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22497941"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This was also expressed as a “normal” mean fluid-to-serum glucose ratio of 1.0 (99% confidence interval, 0.8-1.2). [2]</w:t>
            </w:r>
          </w:p>
        </w:tc>
      </w:tr>
      <w:tr w:rsidR="000E59BD" w:rsidRPr="000E59BD" w14:paraId="23ACD4C7" w14:textId="77777777" w:rsidTr="008C7D64">
        <w:trPr>
          <w:trHeight w:val="300"/>
        </w:trPr>
        <w:tc>
          <w:tcPr>
            <w:tcW w:w="11687" w:type="dxa"/>
            <w:gridSpan w:val="5"/>
            <w:noWrap/>
            <w:hideMark/>
          </w:tcPr>
          <w:p w14:paraId="66B0B216"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2D276025" w14:textId="77777777" w:rsidTr="008C7D64">
        <w:trPr>
          <w:trHeight w:val="300"/>
        </w:trPr>
        <w:tc>
          <w:tcPr>
            <w:tcW w:w="3608" w:type="dxa"/>
            <w:gridSpan w:val="2"/>
            <w:vMerge w:val="restart"/>
            <w:noWrap/>
            <w:hideMark/>
          </w:tcPr>
          <w:p w14:paraId="386BA784"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References</w:t>
            </w:r>
          </w:p>
        </w:tc>
        <w:tc>
          <w:tcPr>
            <w:tcW w:w="8079" w:type="dxa"/>
            <w:gridSpan w:val="3"/>
            <w:noWrap/>
            <w:hideMark/>
          </w:tcPr>
          <w:p w14:paraId="150648E6"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[1] Meyers DG, Meyers RE, Prendergast TW. 1997. The usefulness of diagnostic tests on pericardial fluid. Chest. 111(5):1213-21.</w:t>
            </w:r>
          </w:p>
        </w:tc>
      </w:tr>
      <w:tr w:rsidR="000E59BD" w:rsidRPr="000E59BD" w14:paraId="0192EE3F" w14:textId="77777777" w:rsidTr="008C7D64">
        <w:trPr>
          <w:trHeight w:val="300"/>
        </w:trPr>
        <w:tc>
          <w:tcPr>
            <w:tcW w:w="3608" w:type="dxa"/>
            <w:gridSpan w:val="2"/>
            <w:vMerge/>
            <w:noWrap/>
            <w:hideMark/>
          </w:tcPr>
          <w:p w14:paraId="5AA034F2"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4F1C0905"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[2] Ben-Horin S, Shinfeld A, Kachel E, Chetrit A, Livneh A. 2005. The composition of normal pericardial fluid and its implications for diagnosing pericardial effusions. The American Journal of Medicine. 118:636-640.</w:t>
            </w:r>
          </w:p>
        </w:tc>
      </w:tr>
      <w:tr w:rsidR="000E59BD" w:rsidRPr="000E59BD" w14:paraId="4E3E368F" w14:textId="77777777" w:rsidTr="008C7D64">
        <w:trPr>
          <w:trHeight w:val="300"/>
        </w:trPr>
        <w:tc>
          <w:tcPr>
            <w:tcW w:w="11687" w:type="dxa"/>
            <w:gridSpan w:val="5"/>
            <w:noWrap/>
            <w:hideMark/>
          </w:tcPr>
          <w:p w14:paraId="2E780AAC"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2A791099" w14:textId="77777777" w:rsidTr="008C7D64">
        <w:trPr>
          <w:trHeight w:val="300"/>
        </w:trPr>
        <w:tc>
          <w:tcPr>
            <w:tcW w:w="11687" w:type="dxa"/>
            <w:gridSpan w:val="5"/>
            <w:noWrap/>
            <w:hideMark/>
          </w:tcPr>
          <w:p w14:paraId="290B1D8A" w14:textId="5564075D" w:rsidR="000E59BD" w:rsidRPr="000E59BD" w:rsidRDefault="000E59BD" w:rsidP="000E59BD">
            <w:pPr>
              <w:rPr>
                <w:rFonts w:ascii="Times New Roman" w:eastAsia="Times New Roman" w:hAnsi="Times New Roman" w:cs="Times New Roman"/>
                <w:kern w:val="0"/>
                <w:sz w:val="20"/>
                <w:szCs w:val="20"/>
                <w:lang w:bidi="ta-IN"/>
                <w14:ligatures w14:val="none"/>
              </w:rPr>
            </w:pPr>
            <w:r w:rsidRPr="000E59BD">
              <w:rPr>
                <w:rFonts w:ascii="Calibri" w:eastAsia="Times New Roman" w:hAnsi="Calibri" w:cs="Calibri"/>
                <w:b/>
                <w:bCs/>
                <w:color w:val="000000"/>
                <w:kern w:val="0"/>
                <w:lang w:bidi="ta-IN"/>
                <w14:ligatures w14:val="none"/>
              </w:rPr>
              <w:t>Peritoneal/​Ascites Fluid Glucose</w:t>
            </w:r>
          </w:p>
        </w:tc>
      </w:tr>
      <w:tr w:rsidR="000E59BD" w:rsidRPr="000E59BD" w14:paraId="588A8773" w14:textId="77777777" w:rsidTr="008C7D64">
        <w:trPr>
          <w:trHeight w:val="300"/>
        </w:trPr>
        <w:tc>
          <w:tcPr>
            <w:tcW w:w="3608" w:type="dxa"/>
            <w:gridSpan w:val="2"/>
            <w:noWrap/>
            <w:hideMark/>
          </w:tcPr>
          <w:p w14:paraId="017E92C8"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Clinical Indications</w:t>
            </w:r>
          </w:p>
        </w:tc>
        <w:tc>
          <w:tcPr>
            <w:tcW w:w="8079" w:type="dxa"/>
            <w:gridSpan w:val="3"/>
            <w:noWrap/>
            <w:hideMark/>
          </w:tcPr>
          <w:p w14:paraId="6FD1A3EC"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Evaluation of peritonitis and/or gut perforation</w:t>
            </w:r>
          </w:p>
        </w:tc>
      </w:tr>
      <w:tr w:rsidR="000E59BD" w:rsidRPr="000E59BD" w14:paraId="178197B9" w14:textId="77777777" w:rsidTr="008C7D64">
        <w:trPr>
          <w:trHeight w:val="300"/>
        </w:trPr>
        <w:tc>
          <w:tcPr>
            <w:tcW w:w="11687" w:type="dxa"/>
            <w:gridSpan w:val="5"/>
            <w:noWrap/>
            <w:hideMark/>
          </w:tcPr>
          <w:p w14:paraId="4A075CD8"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0B1B8715" w14:textId="77777777" w:rsidTr="008C7D64">
        <w:trPr>
          <w:trHeight w:val="300"/>
        </w:trPr>
        <w:tc>
          <w:tcPr>
            <w:tcW w:w="3608" w:type="dxa"/>
            <w:gridSpan w:val="2"/>
            <w:vMerge w:val="restart"/>
            <w:noWrap/>
            <w:hideMark/>
          </w:tcPr>
          <w:p w14:paraId="61A65219"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 Interval and/or Interpretive Information</w:t>
            </w:r>
          </w:p>
        </w:tc>
        <w:tc>
          <w:tcPr>
            <w:tcW w:w="8079" w:type="dxa"/>
            <w:gridSpan w:val="3"/>
            <w:noWrap/>
            <w:hideMark/>
          </w:tcPr>
          <w:p w14:paraId="44A86445"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Normal ascitic fluid glucose is similar to serum concentrations. [1]</w:t>
            </w:r>
          </w:p>
        </w:tc>
      </w:tr>
      <w:tr w:rsidR="000E59BD" w:rsidRPr="000E59BD" w14:paraId="58692A03" w14:textId="77777777" w:rsidTr="008C7D64">
        <w:trPr>
          <w:trHeight w:val="300"/>
        </w:trPr>
        <w:tc>
          <w:tcPr>
            <w:tcW w:w="3608" w:type="dxa"/>
            <w:gridSpan w:val="2"/>
            <w:vMerge/>
            <w:noWrap/>
            <w:hideMark/>
          </w:tcPr>
          <w:p w14:paraId="3A19E634"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0EA12DDD"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Some reports have noted no statistical differences in glucose between sterile peritoneal fluid and ascitic fluid from spontaneous bacterial peritonitis. [2,3]</w:t>
            </w:r>
          </w:p>
        </w:tc>
      </w:tr>
      <w:tr w:rsidR="000E59BD" w:rsidRPr="000E59BD" w14:paraId="7B614761" w14:textId="77777777" w:rsidTr="008C7D64">
        <w:trPr>
          <w:trHeight w:val="300"/>
        </w:trPr>
        <w:tc>
          <w:tcPr>
            <w:tcW w:w="3608" w:type="dxa"/>
            <w:gridSpan w:val="2"/>
            <w:vMerge/>
            <w:noWrap/>
            <w:hideMark/>
          </w:tcPr>
          <w:p w14:paraId="557D8DCE"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4CB5F412"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Specimens from patients with gut perforation (secondary bacterial peritonitis) did, however, have lower glucose concentrations. [2]</w:t>
            </w:r>
          </w:p>
        </w:tc>
      </w:tr>
      <w:tr w:rsidR="000E59BD" w:rsidRPr="000E59BD" w14:paraId="0D59039E" w14:textId="77777777" w:rsidTr="008C7D64">
        <w:trPr>
          <w:trHeight w:val="300"/>
        </w:trPr>
        <w:tc>
          <w:tcPr>
            <w:tcW w:w="3608" w:type="dxa"/>
            <w:gridSpan w:val="2"/>
            <w:vMerge/>
            <w:noWrap/>
            <w:hideMark/>
          </w:tcPr>
          <w:p w14:paraId="5DFC4335"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31AB228B"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Other reports have noted decreased ascitic fluid-to-serum glucose ratios in spontaneous bacterial peritonitis. [4]</w:t>
            </w:r>
          </w:p>
        </w:tc>
      </w:tr>
      <w:tr w:rsidR="000E59BD" w:rsidRPr="000E59BD" w14:paraId="3E87D882" w14:textId="77777777" w:rsidTr="008C7D64">
        <w:trPr>
          <w:trHeight w:val="300"/>
        </w:trPr>
        <w:tc>
          <w:tcPr>
            <w:tcW w:w="3608" w:type="dxa"/>
            <w:gridSpan w:val="2"/>
            <w:vMerge/>
            <w:noWrap/>
            <w:hideMark/>
          </w:tcPr>
          <w:p w14:paraId="2AEC8510"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4EB98749"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 xml:space="preserve">While ascites fluid glucose is generally considered as “unimportant” [2] and/or “not helpful” [5] in the work-up of peritoneal effusions, it is listed as an “optional” </w:t>
            </w:r>
            <w:r w:rsidRPr="000E59BD">
              <w:rPr>
                <w:rFonts w:ascii="Calibri" w:eastAsia="Times New Roman" w:hAnsi="Calibri" w:cs="Calibri"/>
                <w:color w:val="000000"/>
                <w:kern w:val="0"/>
                <w:lang w:bidi="ta-IN"/>
                <w14:ligatures w14:val="none"/>
              </w:rPr>
              <w:lastRenderedPageBreak/>
              <w:t>laboratory test (when there is suspicion of infection) in the American Association for the Study of Liver Disease practice guideline, Management of Adult Patients with Ascites Due to Cirrhosis (Update 2012). [6]</w:t>
            </w:r>
          </w:p>
        </w:tc>
      </w:tr>
      <w:tr w:rsidR="000E59BD" w:rsidRPr="000E59BD" w14:paraId="63F7B82C" w14:textId="77777777" w:rsidTr="008C7D64">
        <w:trPr>
          <w:trHeight w:val="300"/>
        </w:trPr>
        <w:tc>
          <w:tcPr>
            <w:tcW w:w="11687" w:type="dxa"/>
            <w:gridSpan w:val="5"/>
            <w:noWrap/>
            <w:hideMark/>
          </w:tcPr>
          <w:p w14:paraId="62DD6EFD"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271F4818" w14:textId="77777777" w:rsidTr="008C7D64">
        <w:trPr>
          <w:trHeight w:val="300"/>
        </w:trPr>
        <w:tc>
          <w:tcPr>
            <w:tcW w:w="3608" w:type="dxa"/>
            <w:gridSpan w:val="2"/>
            <w:vMerge w:val="restart"/>
            <w:noWrap/>
            <w:hideMark/>
          </w:tcPr>
          <w:p w14:paraId="31616F24"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References</w:t>
            </w:r>
          </w:p>
        </w:tc>
        <w:tc>
          <w:tcPr>
            <w:tcW w:w="8079" w:type="dxa"/>
            <w:gridSpan w:val="3"/>
            <w:noWrap/>
            <w:hideMark/>
          </w:tcPr>
          <w:p w14:paraId="01F174ED"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[1] Burgess LJ. 2004. Biochemical analysis of pleural, peritoneal, and pericardial effusions. Clin Chim Acta. 343:61-84.</w:t>
            </w:r>
          </w:p>
        </w:tc>
      </w:tr>
      <w:tr w:rsidR="000E59BD" w:rsidRPr="000E59BD" w14:paraId="216EE10D" w14:textId="77777777" w:rsidTr="008C7D64">
        <w:trPr>
          <w:trHeight w:val="300"/>
        </w:trPr>
        <w:tc>
          <w:tcPr>
            <w:tcW w:w="3608" w:type="dxa"/>
            <w:gridSpan w:val="2"/>
            <w:vMerge/>
            <w:noWrap/>
            <w:hideMark/>
          </w:tcPr>
          <w:p w14:paraId="761D89B3"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663885B8"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[2] Runyon BA, Hoefs JC. 1984. Ascitic fluid analysis in the differentiation of spontaneous bacterial peritonitis from gastrointestinal tract perforation into ascitic fluid. Hepatology. 4(3):447-450.</w:t>
            </w:r>
          </w:p>
        </w:tc>
      </w:tr>
      <w:tr w:rsidR="000E59BD" w:rsidRPr="000E59BD" w14:paraId="217887BA" w14:textId="77777777" w:rsidTr="008C7D64">
        <w:trPr>
          <w:trHeight w:val="300"/>
        </w:trPr>
        <w:tc>
          <w:tcPr>
            <w:tcW w:w="3608" w:type="dxa"/>
            <w:gridSpan w:val="2"/>
            <w:vMerge/>
            <w:noWrap/>
            <w:hideMark/>
          </w:tcPr>
          <w:p w14:paraId="35BC7735"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1A35EAAC"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[3] Runyon BA, Hoefs JC. 1985. Ascitic fluid chemical analysis before, during and after spontaneous bacterial peritonitis. Hepatology. 5(2):257-9.</w:t>
            </w:r>
          </w:p>
        </w:tc>
      </w:tr>
      <w:tr w:rsidR="000E59BD" w:rsidRPr="000E59BD" w14:paraId="57EF073D" w14:textId="77777777" w:rsidTr="008C7D64">
        <w:trPr>
          <w:trHeight w:val="300"/>
        </w:trPr>
        <w:tc>
          <w:tcPr>
            <w:tcW w:w="3608" w:type="dxa"/>
            <w:gridSpan w:val="2"/>
            <w:vMerge/>
            <w:noWrap/>
            <w:hideMark/>
          </w:tcPr>
          <w:p w14:paraId="27FBA9BD"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7CAB6FDA"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[4] Lee HH, Carlson RW, Bull DM. 1987. Early diagnosis of spontaneous bacterial peritonitis: values of ascitic fluid variables. Infection. 15(4):232-6.</w:t>
            </w:r>
          </w:p>
        </w:tc>
      </w:tr>
      <w:tr w:rsidR="000E59BD" w:rsidRPr="000E59BD" w14:paraId="2E1D4569" w14:textId="77777777" w:rsidTr="008C7D64">
        <w:trPr>
          <w:trHeight w:val="300"/>
        </w:trPr>
        <w:tc>
          <w:tcPr>
            <w:tcW w:w="3608" w:type="dxa"/>
            <w:gridSpan w:val="2"/>
            <w:vMerge/>
            <w:noWrap/>
            <w:hideMark/>
          </w:tcPr>
          <w:p w14:paraId="07F5918B"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72DD47ED"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[5] Kjeldsberg CR, Straseski JA, Couturier MR, Cohen MB. Chapter 6: Peritoneal fluid. In Kjeldsberg’s Body Fluid Analysis. Hussong JW and Kjeldsberg CR, Eds. ASCP Press: Chicago, IL, 2015. ISBN: 978-089189-5824.</w:t>
            </w:r>
          </w:p>
        </w:tc>
      </w:tr>
      <w:tr w:rsidR="000E59BD" w:rsidRPr="000E59BD" w14:paraId="5617FF3B" w14:textId="77777777" w:rsidTr="008C7D64">
        <w:trPr>
          <w:trHeight w:val="300"/>
        </w:trPr>
        <w:tc>
          <w:tcPr>
            <w:tcW w:w="3608" w:type="dxa"/>
            <w:gridSpan w:val="2"/>
            <w:vMerge/>
            <w:noWrap/>
            <w:hideMark/>
          </w:tcPr>
          <w:p w14:paraId="33FC9FCB"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7D8AEFA1"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[6] Runyon BA. 2012. Practice Guideline. Management of Adult Patients with Ascites Due to Cirrhosis: Update 2012. American Association for the Study of Liver Diseases.</w:t>
            </w:r>
          </w:p>
        </w:tc>
      </w:tr>
      <w:tr w:rsidR="000E59BD" w:rsidRPr="000E59BD" w14:paraId="739C583A" w14:textId="77777777" w:rsidTr="008C7D64">
        <w:trPr>
          <w:trHeight w:val="300"/>
        </w:trPr>
        <w:tc>
          <w:tcPr>
            <w:tcW w:w="11687" w:type="dxa"/>
            <w:gridSpan w:val="5"/>
            <w:noWrap/>
            <w:hideMark/>
          </w:tcPr>
          <w:p w14:paraId="4C18EF2C"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5179B26B" w14:textId="77777777" w:rsidTr="008C7D64">
        <w:trPr>
          <w:trHeight w:val="300"/>
        </w:trPr>
        <w:tc>
          <w:tcPr>
            <w:tcW w:w="11687" w:type="dxa"/>
            <w:gridSpan w:val="5"/>
            <w:noWrap/>
            <w:hideMark/>
          </w:tcPr>
          <w:p w14:paraId="2220701C" w14:textId="54797827" w:rsidR="000E59BD" w:rsidRPr="000E59BD" w:rsidRDefault="000E59BD" w:rsidP="000E59BD">
            <w:pPr>
              <w:rPr>
                <w:rFonts w:ascii="Times New Roman" w:eastAsia="Times New Roman" w:hAnsi="Times New Roman" w:cs="Times New Roman"/>
                <w:kern w:val="0"/>
                <w:sz w:val="20"/>
                <w:szCs w:val="20"/>
                <w:lang w:bidi="ta-IN"/>
                <w14:ligatures w14:val="none"/>
              </w:rPr>
            </w:pPr>
            <w:r w:rsidRPr="000E59BD">
              <w:rPr>
                <w:rFonts w:ascii="Calibri" w:eastAsia="Times New Roman" w:hAnsi="Calibri" w:cs="Calibri"/>
                <w:b/>
                <w:bCs/>
                <w:color w:val="000000"/>
                <w:kern w:val="0"/>
                <w:lang w:bidi="ta-IN"/>
                <w14:ligatures w14:val="none"/>
              </w:rPr>
              <w:t>Pleural Fluid Glucose</w:t>
            </w:r>
          </w:p>
        </w:tc>
      </w:tr>
      <w:tr w:rsidR="000E59BD" w:rsidRPr="000E59BD" w14:paraId="7CC125B4" w14:textId="77777777" w:rsidTr="008C7D64">
        <w:trPr>
          <w:trHeight w:val="300"/>
        </w:trPr>
        <w:tc>
          <w:tcPr>
            <w:tcW w:w="3608" w:type="dxa"/>
            <w:gridSpan w:val="2"/>
            <w:noWrap/>
            <w:hideMark/>
          </w:tcPr>
          <w:p w14:paraId="44BEA151"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Clinical Indications</w:t>
            </w:r>
          </w:p>
        </w:tc>
        <w:tc>
          <w:tcPr>
            <w:tcW w:w="8079" w:type="dxa"/>
            <w:gridSpan w:val="3"/>
            <w:noWrap/>
            <w:hideMark/>
          </w:tcPr>
          <w:p w14:paraId="603F7039"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Evaluation of pleural effusions</w:t>
            </w:r>
          </w:p>
        </w:tc>
      </w:tr>
      <w:tr w:rsidR="000E59BD" w:rsidRPr="000E59BD" w14:paraId="7CE17A62" w14:textId="77777777" w:rsidTr="008C7D64">
        <w:trPr>
          <w:trHeight w:val="300"/>
        </w:trPr>
        <w:tc>
          <w:tcPr>
            <w:tcW w:w="11687" w:type="dxa"/>
            <w:gridSpan w:val="5"/>
            <w:noWrap/>
            <w:hideMark/>
          </w:tcPr>
          <w:p w14:paraId="10AAA0A4"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4A8A0343" w14:textId="77777777" w:rsidTr="008C7D64">
        <w:trPr>
          <w:trHeight w:val="300"/>
        </w:trPr>
        <w:tc>
          <w:tcPr>
            <w:tcW w:w="3608" w:type="dxa"/>
            <w:gridSpan w:val="2"/>
            <w:vMerge w:val="restart"/>
            <w:noWrap/>
            <w:hideMark/>
          </w:tcPr>
          <w:p w14:paraId="7120F464"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 Interval and/or Interpretive Information</w:t>
            </w:r>
          </w:p>
        </w:tc>
        <w:tc>
          <w:tcPr>
            <w:tcW w:w="8079" w:type="dxa"/>
            <w:gridSpan w:val="3"/>
            <w:noWrap/>
            <w:hideMark/>
          </w:tcPr>
          <w:p w14:paraId="184C84A9"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Normal pleural fluid glucose is similar to serum concentrations. [1]</w:t>
            </w:r>
          </w:p>
        </w:tc>
      </w:tr>
      <w:tr w:rsidR="000E59BD" w:rsidRPr="000E59BD" w14:paraId="420D70AA" w14:textId="77777777" w:rsidTr="008C7D64">
        <w:trPr>
          <w:trHeight w:val="300"/>
        </w:trPr>
        <w:tc>
          <w:tcPr>
            <w:tcW w:w="3608" w:type="dxa"/>
            <w:gridSpan w:val="2"/>
            <w:vMerge/>
            <w:noWrap/>
            <w:hideMark/>
          </w:tcPr>
          <w:p w14:paraId="2BAC0033"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00907CB9"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Pleural fluid transudates and most exudates usually have glucose concentrations of &gt;60 mg/dL. [2]</w:t>
            </w:r>
          </w:p>
        </w:tc>
      </w:tr>
      <w:tr w:rsidR="000E59BD" w:rsidRPr="000E59BD" w14:paraId="73C89588" w14:textId="77777777" w:rsidTr="008C7D64">
        <w:trPr>
          <w:trHeight w:val="300"/>
        </w:trPr>
        <w:tc>
          <w:tcPr>
            <w:tcW w:w="3608" w:type="dxa"/>
            <w:gridSpan w:val="2"/>
            <w:vMerge/>
            <w:noWrap/>
            <w:hideMark/>
          </w:tcPr>
          <w:p w14:paraId="18A81116"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02A44A71"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Pleural fluid exudates with glucose concentrations &lt;60 mg/dL have been associated with conditions such as parapneumonic effusion, tuberculosis, malignancy, empyema, and/or rheumatoid disease. [1,2,3,4]</w:t>
            </w:r>
          </w:p>
        </w:tc>
      </w:tr>
      <w:tr w:rsidR="000E59BD" w:rsidRPr="000E59BD" w14:paraId="6FCDA6FA" w14:textId="77777777" w:rsidTr="008C7D64">
        <w:trPr>
          <w:trHeight w:val="300"/>
        </w:trPr>
        <w:tc>
          <w:tcPr>
            <w:tcW w:w="3608" w:type="dxa"/>
            <w:gridSpan w:val="2"/>
            <w:noWrap/>
            <w:hideMark/>
          </w:tcPr>
          <w:p w14:paraId="711D835C" w14:textId="77777777" w:rsidR="000E59BD" w:rsidRPr="000E59BD" w:rsidRDefault="000E59BD" w:rsidP="000E59BD">
            <w:pPr>
              <w:rPr>
                <w:rFonts w:ascii="Calibri" w:eastAsia="Times New Roman" w:hAnsi="Calibri" w:cs="Calibri"/>
                <w:color w:val="000000"/>
                <w:kern w:val="0"/>
                <w:lang w:bidi="ta-IN"/>
                <w14:ligatures w14:val="none"/>
              </w:rPr>
            </w:pPr>
          </w:p>
        </w:tc>
        <w:tc>
          <w:tcPr>
            <w:tcW w:w="5020" w:type="dxa"/>
            <w:noWrap/>
            <w:hideMark/>
          </w:tcPr>
          <w:p w14:paraId="1445420E"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c>
          <w:tcPr>
            <w:tcW w:w="3059" w:type="dxa"/>
            <w:gridSpan w:val="2"/>
            <w:noWrap/>
            <w:hideMark/>
          </w:tcPr>
          <w:p w14:paraId="4003E0A3"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04F4FE8C" w14:textId="77777777" w:rsidTr="008C7D64">
        <w:trPr>
          <w:trHeight w:val="300"/>
        </w:trPr>
        <w:tc>
          <w:tcPr>
            <w:tcW w:w="3608" w:type="dxa"/>
            <w:gridSpan w:val="2"/>
            <w:vMerge w:val="restart"/>
            <w:noWrap/>
            <w:hideMark/>
          </w:tcPr>
          <w:p w14:paraId="3F8BB5E3"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References</w:t>
            </w:r>
          </w:p>
        </w:tc>
        <w:tc>
          <w:tcPr>
            <w:tcW w:w="8079" w:type="dxa"/>
            <w:gridSpan w:val="3"/>
            <w:noWrap/>
            <w:hideMark/>
          </w:tcPr>
          <w:p w14:paraId="6DCDA30C"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[1] Hooper C, Lee YCG, Maskell N, on behalf of the BTS Pleural Guideline Group. 2010. Investigation of a unilateral pleural effusion in adults: British Thoracic Society pleural disease guideline 2010. Thorax. 65(Suppl 2):ii4-ii17. </w:t>
            </w:r>
          </w:p>
        </w:tc>
      </w:tr>
      <w:tr w:rsidR="000E59BD" w:rsidRPr="000E59BD" w14:paraId="2C75CFD4" w14:textId="77777777" w:rsidTr="008C7D64">
        <w:trPr>
          <w:trHeight w:val="300"/>
        </w:trPr>
        <w:tc>
          <w:tcPr>
            <w:tcW w:w="3608" w:type="dxa"/>
            <w:gridSpan w:val="2"/>
            <w:vMerge/>
            <w:noWrap/>
            <w:hideMark/>
          </w:tcPr>
          <w:p w14:paraId="45D5E5A6"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39D7F243"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[2] Kjeldsberg CR, Grenache DG, Couturier MR, Cohen MB. Chapter 5: Pleural and pericardial fluid. In Kjeldsberg’s Body Fluid Analysis. Hussong JW and Kjeldsberg CR, Eds. ASCP Press: Chicago, IL, 2015. ISBN: 978-089189-5824.</w:t>
            </w:r>
          </w:p>
        </w:tc>
      </w:tr>
      <w:tr w:rsidR="000E59BD" w:rsidRPr="000E59BD" w14:paraId="1E0716F6" w14:textId="77777777" w:rsidTr="008C7D64">
        <w:trPr>
          <w:trHeight w:val="300"/>
        </w:trPr>
        <w:tc>
          <w:tcPr>
            <w:tcW w:w="3608" w:type="dxa"/>
            <w:gridSpan w:val="2"/>
            <w:vMerge/>
            <w:noWrap/>
            <w:hideMark/>
          </w:tcPr>
          <w:p w14:paraId="3EB2C98A"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6BEA7E95"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[3] Burgess LJ. 2004. Biochemical analysis of pleural, peritoneal, and pericardial effusions. Clin Chim Acta. 343:61-84. </w:t>
            </w:r>
          </w:p>
        </w:tc>
      </w:tr>
      <w:tr w:rsidR="000E59BD" w:rsidRPr="000E59BD" w14:paraId="7114E1EA" w14:textId="77777777" w:rsidTr="008C7D64">
        <w:trPr>
          <w:trHeight w:val="300"/>
        </w:trPr>
        <w:tc>
          <w:tcPr>
            <w:tcW w:w="3608" w:type="dxa"/>
            <w:gridSpan w:val="2"/>
            <w:vMerge/>
            <w:noWrap/>
            <w:hideMark/>
          </w:tcPr>
          <w:p w14:paraId="1108A686"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13E91D47"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[4] Sahn SA. Getting the most from pleural fluid analysis. 2012. Respirology. 17: 270-277</w:t>
            </w:r>
          </w:p>
        </w:tc>
      </w:tr>
      <w:tr w:rsidR="000E59BD" w:rsidRPr="000E59BD" w14:paraId="0D8DAC27" w14:textId="77777777" w:rsidTr="008C7D64">
        <w:trPr>
          <w:trHeight w:val="300"/>
        </w:trPr>
        <w:tc>
          <w:tcPr>
            <w:tcW w:w="3608" w:type="dxa"/>
            <w:gridSpan w:val="2"/>
            <w:noWrap/>
            <w:hideMark/>
          </w:tcPr>
          <w:p w14:paraId="492BC5E5" w14:textId="77777777" w:rsidR="000E59BD" w:rsidRPr="000E59BD" w:rsidRDefault="000E59BD" w:rsidP="000E59BD">
            <w:pPr>
              <w:rPr>
                <w:rFonts w:ascii="Calibri" w:eastAsia="Times New Roman" w:hAnsi="Calibri" w:cs="Calibri"/>
                <w:color w:val="000000"/>
                <w:kern w:val="0"/>
                <w:lang w:bidi="ta-IN"/>
                <w14:ligatures w14:val="none"/>
              </w:rPr>
            </w:pPr>
          </w:p>
        </w:tc>
        <w:tc>
          <w:tcPr>
            <w:tcW w:w="5020" w:type="dxa"/>
            <w:noWrap/>
            <w:hideMark/>
          </w:tcPr>
          <w:p w14:paraId="2F53ADA5"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c>
          <w:tcPr>
            <w:tcW w:w="3059" w:type="dxa"/>
            <w:gridSpan w:val="2"/>
            <w:noWrap/>
            <w:hideMark/>
          </w:tcPr>
          <w:p w14:paraId="38396969"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145EC760" w14:textId="77777777" w:rsidTr="008C7D64">
        <w:trPr>
          <w:trHeight w:val="300"/>
        </w:trPr>
        <w:tc>
          <w:tcPr>
            <w:tcW w:w="11687" w:type="dxa"/>
            <w:gridSpan w:val="5"/>
            <w:noWrap/>
            <w:hideMark/>
          </w:tcPr>
          <w:p w14:paraId="34B4BA60" w14:textId="1A24001E" w:rsidR="000E59BD" w:rsidRPr="000E59BD" w:rsidRDefault="000E59BD" w:rsidP="000E59BD">
            <w:pPr>
              <w:rPr>
                <w:rFonts w:ascii="Times New Roman" w:eastAsia="Times New Roman" w:hAnsi="Times New Roman" w:cs="Times New Roman"/>
                <w:kern w:val="0"/>
                <w:sz w:val="20"/>
                <w:szCs w:val="20"/>
                <w:lang w:bidi="ta-IN"/>
                <w14:ligatures w14:val="none"/>
              </w:rPr>
            </w:pPr>
            <w:r w:rsidRPr="000E59BD">
              <w:rPr>
                <w:rFonts w:ascii="Calibri" w:eastAsia="Times New Roman" w:hAnsi="Calibri" w:cs="Calibri"/>
                <w:b/>
                <w:bCs/>
                <w:color w:val="000000"/>
                <w:kern w:val="0"/>
                <w:lang w:bidi="ta-IN"/>
                <w14:ligatures w14:val="none"/>
              </w:rPr>
              <w:t>Synovial Fluid Glucose</w:t>
            </w:r>
          </w:p>
        </w:tc>
      </w:tr>
      <w:tr w:rsidR="000E59BD" w:rsidRPr="000E59BD" w14:paraId="7F24894D" w14:textId="77777777" w:rsidTr="008C7D64">
        <w:trPr>
          <w:trHeight w:val="300"/>
        </w:trPr>
        <w:tc>
          <w:tcPr>
            <w:tcW w:w="3608" w:type="dxa"/>
            <w:gridSpan w:val="2"/>
            <w:noWrap/>
            <w:hideMark/>
          </w:tcPr>
          <w:p w14:paraId="131360D4"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Clinical Indications</w:t>
            </w:r>
          </w:p>
        </w:tc>
        <w:tc>
          <w:tcPr>
            <w:tcW w:w="8079" w:type="dxa"/>
            <w:gridSpan w:val="3"/>
            <w:noWrap/>
            <w:hideMark/>
          </w:tcPr>
          <w:p w14:paraId="69766C45"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Evaluation of joint inflammation and/or septic arthritis</w:t>
            </w:r>
          </w:p>
        </w:tc>
      </w:tr>
      <w:tr w:rsidR="000E59BD" w:rsidRPr="000E59BD" w14:paraId="2447D2D9" w14:textId="77777777" w:rsidTr="008C7D64">
        <w:trPr>
          <w:trHeight w:val="300"/>
        </w:trPr>
        <w:tc>
          <w:tcPr>
            <w:tcW w:w="11687" w:type="dxa"/>
            <w:gridSpan w:val="5"/>
            <w:noWrap/>
            <w:hideMark/>
          </w:tcPr>
          <w:p w14:paraId="4C2E38DA"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0A23F947" w14:textId="77777777" w:rsidTr="008C7D64">
        <w:trPr>
          <w:trHeight w:val="300"/>
        </w:trPr>
        <w:tc>
          <w:tcPr>
            <w:tcW w:w="3608" w:type="dxa"/>
            <w:gridSpan w:val="2"/>
            <w:vMerge w:val="restart"/>
            <w:noWrap/>
            <w:hideMark/>
          </w:tcPr>
          <w:p w14:paraId="72708587"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 Interval and/or Interpretive Information</w:t>
            </w:r>
          </w:p>
        </w:tc>
        <w:tc>
          <w:tcPr>
            <w:tcW w:w="8079" w:type="dxa"/>
            <w:gridSpan w:val="3"/>
            <w:noWrap/>
            <w:hideMark/>
          </w:tcPr>
          <w:p w14:paraId="61BF7CCF"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Normal synovial fluid glucose concentrations are similar to corresponding serum (within ~10 mg/dL of a corresponding fasting serum concentration when the fluid was obtained at a 6-8 hr postprandial time point) [1], or approximately one half of corresponding non-fasting serum glucose. [2]</w:t>
            </w:r>
          </w:p>
        </w:tc>
      </w:tr>
      <w:tr w:rsidR="000E59BD" w:rsidRPr="000E59BD" w14:paraId="3C622952" w14:textId="77777777" w:rsidTr="008C7D64">
        <w:trPr>
          <w:trHeight w:val="300"/>
        </w:trPr>
        <w:tc>
          <w:tcPr>
            <w:tcW w:w="3608" w:type="dxa"/>
            <w:gridSpan w:val="2"/>
            <w:vMerge/>
            <w:noWrap/>
            <w:hideMark/>
          </w:tcPr>
          <w:p w14:paraId="211ED7BC"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374710F4"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Low synovial fluid glucose has been associated with joint inflammation and/or septic arthritis. [1,2,3]</w:t>
            </w:r>
          </w:p>
        </w:tc>
      </w:tr>
      <w:tr w:rsidR="000E59BD" w:rsidRPr="000E59BD" w14:paraId="190CE29E" w14:textId="77777777" w:rsidTr="008C7D64">
        <w:trPr>
          <w:trHeight w:val="300"/>
        </w:trPr>
        <w:tc>
          <w:tcPr>
            <w:tcW w:w="3608" w:type="dxa"/>
            <w:gridSpan w:val="2"/>
            <w:noWrap/>
            <w:hideMark/>
          </w:tcPr>
          <w:p w14:paraId="1CD80FF9" w14:textId="77777777" w:rsidR="000E59BD" w:rsidRPr="000E59BD" w:rsidRDefault="000E59BD" w:rsidP="000E59BD">
            <w:pPr>
              <w:rPr>
                <w:rFonts w:ascii="Calibri" w:eastAsia="Times New Roman" w:hAnsi="Calibri" w:cs="Calibri"/>
                <w:color w:val="000000"/>
                <w:kern w:val="0"/>
                <w:lang w:bidi="ta-IN"/>
                <w14:ligatures w14:val="none"/>
              </w:rPr>
            </w:pPr>
          </w:p>
        </w:tc>
        <w:tc>
          <w:tcPr>
            <w:tcW w:w="5020" w:type="dxa"/>
            <w:noWrap/>
            <w:hideMark/>
          </w:tcPr>
          <w:p w14:paraId="27E98D7D"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c>
          <w:tcPr>
            <w:tcW w:w="3059" w:type="dxa"/>
            <w:gridSpan w:val="2"/>
            <w:noWrap/>
            <w:hideMark/>
          </w:tcPr>
          <w:p w14:paraId="45E5B992"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0E59BD" w:rsidRPr="000E59BD" w14:paraId="69853F1A" w14:textId="77777777" w:rsidTr="008C7D64">
        <w:trPr>
          <w:trHeight w:val="300"/>
        </w:trPr>
        <w:tc>
          <w:tcPr>
            <w:tcW w:w="3608" w:type="dxa"/>
            <w:gridSpan w:val="2"/>
            <w:vMerge w:val="restart"/>
            <w:noWrap/>
            <w:hideMark/>
          </w:tcPr>
          <w:p w14:paraId="1E5E934E"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References</w:t>
            </w:r>
          </w:p>
        </w:tc>
        <w:tc>
          <w:tcPr>
            <w:tcW w:w="8079" w:type="dxa"/>
            <w:gridSpan w:val="3"/>
            <w:noWrap/>
            <w:hideMark/>
          </w:tcPr>
          <w:p w14:paraId="2D45CAE3"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[1] Couturier MR, Straseski JA, Kjeldsberg CR. Chapter 7: Synovial fluid. In Kjeldsberg’s Body Fluid Analysis. Hussong JW and Kjeldsberg CR, Eds. ASCP Press: Chicago, IL, 2015. ISBN: 978-089189-5824.</w:t>
            </w:r>
          </w:p>
        </w:tc>
      </w:tr>
      <w:tr w:rsidR="000E59BD" w:rsidRPr="000E59BD" w14:paraId="738969E0" w14:textId="77777777" w:rsidTr="008C7D64">
        <w:trPr>
          <w:trHeight w:val="300"/>
        </w:trPr>
        <w:tc>
          <w:tcPr>
            <w:tcW w:w="3608" w:type="dxa"/>
            <w:gridSpan w:val="2"/>
            <w:vMerge/>
            <w:noWrap/>
            <w:hideMark/>
          </w:tcPr>
          <w:p w14:paraId="37D2C414"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2BB901DE"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[2] Block DR, Franke DDH. Quick Guide to Body Fluid Testing. AACC Press (Washington, DC), 2015. ISBN 978-1-59425-180-1.</w:t>
            </w:r>
          </w:p>
        </w:tc>
      </w:tr>
      <w:tr w:rsidR="000E59BD" w:rsidRPr="000E59BD" w14:paraId="1D528D57" w14:textId="77777777" w:rsidTr="008C7D64">
        <w:trPr>
          <w:trHeight w:val="300"/>
        </w:trPr>
        <w:tc>
          <w:tcPr>
            <w:tcW w:w="3608" w:type="dxa"/>
            <w:gridSpan w:val="2"/>
            <w:vMerge/>
            <w:noWrap/>
            <w:hideMark/>
          </w:tcPr>
          <w:p w14:paraId="79AFBA78" w14:textId="77777777" w:rsidR="000E59BD" w:rsidRPr="000E59BD" w:rsidRDefault="000E59BD" w:rsidP="000E59BD">
            <w:pPr>
              <w:rPr>
                <w:rFonts w:ascii="Calibri" w:eastAsia="Times New Roman" w:hAnsi="Calibri" w:cs="Calibri"/>
                <w:color w:val="000000"/>
                <w:kern w:val="0"/>
                <w:lang w:bidi="ta-IN"/>
                <w14:ligatures w14:val="none"/>
              </w:rPr>
            </w:pPr>
          </w:p>
        </w:tc>
        <w:tc>
          <w:tcPr>
            <w:tcW w:w="8079" w:type="dxa"/>
            <w:gridSpan w:val="3"/>
            <w:noWrap/>
            <w:hideMark/>
          </w:tcPr>
          <w:p w14:paraId="659196C9" w14:textId="77777777" w:rsidR="000E59BD" w:rsidRPr="000E59BD" w:rsidRDefault="000E59BD" w:rsidP="000E59BD">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[3] Margaretten ME, Kohlwes J, Moore D, Bent S. 2007. Does this adult patient have septic arthritis? JAMA. 297(13):1478-1488. </w:t>
            </w:r>
          </w:p>
        </w:tc>
      </w:tr>
      <w:tr w:rsidR="000E59BD" w:rsidRPr="000E59BD" w14:paraId="6C765615" w14:textId="77777777" w:rsidTr="008C7D64">
        <w:trPr>
          <w:trHeight w:val="323"/>
        </w:trPr>
        <w:tc>
          <w:tcPr>
            <w:tcW w:w="11687" w:type="dxa"/>
            <w:gridSpan w:val="5"/>
            <w:noWrap/>
            <w:hideMark/>
          </w:tcPr>
          <w:p w14:paraId="7A676ABA" w14:textId="77777777" w:rsidR="000E59BD" w:rsidRPr="000E59BD" w:rsidRDefault="000E59BD" w:rsidP="000E59BD">
            <w:pPr>
              <w:rPr>
                <w:rFonts w:ascii="Times New Roman" w:eastAsia="Times New Roman" w:hAnsi="Times New Roman" w:cs="Times New Roman"/>
                <w:kern w:val="0"/>
                <w:sz w:val="20"/>
                <w:szCs w:val="20"/>
                <w:lang w:bidi="ta-IN"/>
                <w14:ligatures w14:val="none"/>
              </w:rPr>
            </w:pPr>
          </w:p>
        </w:tc>
      </w:tr>
      <w:tr w:rsidR="008C7D64" w:rsidRPr="008C7D64" w14:paraId="00449E90" w14:textId="77777777" w:rsidTr="008C7D64">
        <w:trPr>
          <w:gridAfter w:val="1"/>
          <w:wAfter w:w="98" w:type="dxa"/>
          <w:trHeight w:val="300"/>
        </w:trPr>
        <w:tc>
          <w:tcPr>
            <w:tcW w:w="3579" w:type="dxa"/>
            <w:noWrap/>
            <w:hideMark/>
          </w:tcPr>
          <w:p w14:paraId="3CEE324A" w14:textId="77777777" w:rsidR="008C7D64" w:rsidRPr="008C7D64" w:rsidRDefault="008C7D64" w:rsidP="008C7D64">
            <w:pPr>
              <w:rPr>
                <w:rFonts w:ascii="Calibri" w:eastAsia="Times New Roman" w:hAnsi="Calibri" w:cs="Calibri"/>
                <w:b/>
                <w:bCs/>
                <w:color w:val="000000"/>
                <w:kern w:val="0"/>
                <w:lang w:bidi="ta-IN"/>
                <w14:ligatures w14:val="none"/>
              </w:rPr>
            </w:pPr>
            <w:r w:rsidRPr="008C7D64">
              <w:rPr>
                <w:rFonts w:ascii="Calibri" w:eastAsia="Times New Roman" w:hAnsi="Calibri" w:cs="Calibri"/>
                <w:b/>
                <w:bCs/>
                <w:color w:val="000000"/>
                <w:kern w:val="0"/>
                <w:lang w:bidi="ta-IN"/>
                <w14:ligatures w14:val="none"/>
              </w:rPr>
              <w:t>Urine, Glucose</w:t>
            </w:r>
          </w:p>
        </w:tc>
        <w:tc>
          <w:tcPr>
            <w:tcW w:w="8010" w:type="dxa"/>
            <w:gridSpan w:val="3"/>
            <w:noWrap/>
            <w:hideMark/>
          </w:tcPr>
          <w:p w14:paraId="190C19C0" w14:textId="77777777" w:rsidR="008C7D64" w:rsidRPr="008C7D64" w:rsidRDefault="008C7D64" w:rsidP="008C7D64">
            <w:pPr>
              <w:rPr>
                <w:rFonts w:ascii="Calibri" w:eastAsia="Times New Roman" w:hAnsi="Calibri" w:cs="Calibri"/>
                <w:color w:val="000000"/>
                <w:kern w:val="0"/>
                <w:lang w:bidi="ta-IN"/>
                <w14:ligatures w14:val="none"/>
              </w:rPr>
            </w:pPr>
          </w:p>
        </w:tc>
      </w:tr>
      <w:tr w:rsidR="008C7D64" w:rsidRPr="008C7D64" w14:paraId="276BAD53" w14:textId="77777777" w:rsidTr="008C7D64">
        <w:trPr>
          <w:gridAfter w:val="1"/>
          <w:wAfter w:w="98" w:type="dxa"/>
          <w:trHeight w:val="300"/>
        </w:trPr>
        <w:tc>
          <w:tcPr>
            <w:tcW w:w="3579" w:type="dxa"/>
            <w:noWrap/>
            <w:hideMark/>
          </w:tcPr>
          <w:p w14:paraId="6383BC8C" w14:textId="77777777" w:rsidR="008C7D64" w:rsidRPr="008C7D64" w:rsidRDefault="008C7D64" w:rsidP="008C7D64">
            <w:pPr>
              <w:rPr>
                <w:rFonts w:ascii="Calibri" w:eastAsia="Times New Roman" w:hAnsi="Calibri" w:cs="Calibri"/>
                <w:color w:val="000000"/>
                <w:kern w:val="0"/>
                <w:lang w:bidi="ta-IN"/>
                <w14:ligatures w14:val="none"/>
              </w:rPr>
            </w:pPr>
            <w:r w:rsidRPr="008C7D64">
              <w:rPr>
                <w:rFonts w:ascii="Calibri" w:eastAsia="Times New Roman" w:hAnsi="Calibri" w:cs="Calibri"/>
                <w:color w:val="000000"/>
                <w:kern w:val="0"/>
                <w:lang w:bidi="ta-IN"/>
                <w14:ligatures w14:val="none"/>
              </w:rPr>
              <w:t>Random (mg/dL)</w:t>
            </w:r>
          </w:p>
        </w:tc>
        <w:tc>
          <w:tcPr>
            <w:tcW w:w="8010" w:type="dxa"/>
            <w:gridSpan w:val="3"/>
            <w:noWrap/>
            <w:hideMark/>
          </w:tcPr>
          <w:p w14:paraId="4FE53694" w14:textId="77777777" w:rsidR="008C7D64" w:rsidRPr="008C7D64" w:rsidRDefault="008C7D64" w:rsidP="008C7D64">
            <w:pPr>
              <w:rPr>
                <w:rFonts w:ascii="Calibri" w:eastAsia="Times New Roman" w:hAnsi="Calibri" w:cs="Calibri"/>
                <w:color w:val="000000"/>
                <w:kern w:val="0"/>
                <w:lang w:bidi="ta-IN"/>
                <w14:ligatures w14:val="none"/>
              </w:rPr>
            </w:pPr>
            <w:r w:rsidRPr="008C7D64">
              <w:rPr>
                <w:rFonts w:ascii="Calibri" w:eastAsia="Times New Roman" w:hAnsi="Calibri" w:cs="Calibri"/>
                <w:color w:val="000000"/>
                <w:kern w:val="0"/>
                <w:lang w:bidi="ta-IN"/>
                <w14:ligatures w14:val="none"/>
              </w:rPr>
              <w:t>1 - 15</w:t>
            </w:r>
          </w:p>
        </w:tc>
      </w:tr>
      <w:tr w:rsidR="008C7D64" w:rsidRPr="008C7D64" w14:paraId="4B1DD483" w14:textId="77777777" w:rsidTr="008C7D64">
        <w:trPr>
          <w:gridAfter w:val="1"/>
          <w:wAfter w:w="98" w:type="dxa"/>
          <w:trHeight w:val="300"/>
        </w:trPr>
        <w:tc>
          <w:tcPr>
            <w:tcW w:w="3579" w:type="dxa"/>
            <w:noWrap/>
            <w:hideMark/>
          </w:tcPr>
          <w:p w14:paraId="68E50FA8" w14:textId="7B91242E" w:rsidR="008C7D64" w:rsidRPr="008C7D64" w:rsidRDefault="008C7D64" w:rsidP="008C7D64">
            <w:pPr>
              <w:rPr>
                <w:rFonts w:ascii="Calibri" w:eastAsia="Times New Roman" w:hAnsi="Calibri" w:cs="Calibri"/>
                <w:color w:val="000000"/>
                <w:kern w:val="0"/>
                <w:lang w:bidi="ta-IN"/>
                <w14:ligatures w14:val="none"/>
              </w:rPr>
            </w:pPr>
            <w:r w:rsidRPr="008C7D64">
              <w:rPr>
                <w:rFonts w:ascii="Calibri" w:eastAsia="Times New Roman" w:hAnsi="Calibri" w:cs="Calibri"/>
                <w:color w:val="000000"/>
                <w:kern w:val="0"/>
                <w:lang w:bidi="ta-IN"/>
                <w14:ligatures w14:val="none"/>
              </w:rPr>
              <w:t>24 h (</w:t>
            </w:r>
            <w:r w:rsidR="00D21935">
              <w:rPr>
                <w:rFonts w:ascii="Calibri" w:eastAsia="Times New Roman" w:hAnsi="Calibri" w:cs="Calibri"/>
                <w:color w:val="000000"/>
                <w:kern w:val="0"/>
                <w:lang w:bidi="ta-IN"/>
                <w14:ligatures w14:val="none"/>
              </w:rPr>
              <w:t>m</w:t>
            </w:r>
            <w:r w:rsidRPr="008C7D64">
              <w:rPr>
                <w:rFonts w:ascii="Calibri" w:eastAsia="Times New Roman" w:hAnsi="Calibri" w:cs="Calibri"/>
                <w:color w:val="000000"/>
                <w:kern w:val="0"/>
                <w:lang w:bidi="ta-IN"/>
                <w14:ligatures w14:val="none"/>
              </w:rPr>
              <w:t>g/ 24 h)</w:t>
            </w:r>
          </w:p>
        </w:tc>
        <w:tc>
          <w:tcPr>
            <w:tcW w:w="8010" w:type="dxa"/>
            <w:gridSpan w:val="3"/>
            <w:noWrap/>
            <w:hideMark/>
          </w:tcPr>
          <w:p w14:paraId="36969D50" w14:textId="388C5B23" w:rsidR="008C7D64" w:rsidRPr="008C7D64" w:rsidRDefault="008C7D64" w:rsidP="008C7D64">
            <w:pPr>
              <w:rPr>
                <w:rFonts w:ascii="Calibri" w:eastAsia="Times New Roman" w:hAnsi="Calibri" w:cs="Calibri"/>
                <w:color w:val="000000"/>
                <w:kern w:val="0"/>
                <w:lang w:bidi="ta-IN"/>
                <w14:ligatures w14:val="none"/>
              </w:rPr>
            </w:pPr>
            <w:r w:rsidRPr="008C7D64">
              <w:rPr>
                <w:rFonts w:ascii="Calibri" w:eastAsia="Times New Roman" w:hAnsi="Calibri" w:cs="Calibri"/>
                <w:color w:val="000000"/>
                <w:kern w:val="0"/>
                <w:lang w:bidi="ta-IN"/>
                <w14:ligatures w14:val="none"/>
              </w:rPr>
              <w:t>&lt;</w:t>
            </w:r>
            <w:r w:rsidR="00D21935">
              <w:rPr>
                <w:rFonts w:ascii="Calibri" w:eastAsia="Times New Roman" w:hAnsi="Calibri" w:cs="Calibri"/>
                <w:color w:val="000000"/>
                <w:kern w:val="0"/>
                <w:lang w:bidi="ta-IN"/>
                <w14:ligatures w14:val="none"/>
              </w:rPr>
              <w:t>500</w:t>
            </w:r>
          </w:p>
        </w:tc>
      </w:tr>
      <w:tr w:rsidR="008C7D64" w:rsidRPr="008C7D64" w14:paraId="23AC5922" w14:textId="77777777" w:rsidTr="00FB75E5">
        <w:trPr>
          <w:gridAfter w:val="1"/>
          <w:wAfter w:w="98" w:type="dxa"/>
          <w:trHeight w:val="300"/>
        </w:trPr>
        <w:tc>
          <w:tcPr>
            <w:tcW w:w="11589" w:type="dxa"/>
            <w:gridSpan w:val="4"/>
            <w:noWrap/>
          </w:tcPr>
          <w:p w14:paraId="0A52C06A" w14:textId="77777777" w:rsidR="008C7D64" w:rsidRPr="000E59BD" w:rsidRDefault="008C7D64" w:rsidP="008C7D64">
            <w:pPr>
              <w:rPr>
                <w:rFonts w:ascii="Calibri" w:eastAsia="Times New Roman" w:hAnsi="Calibri" w:cs="Calibri"/>
                <w:color w:val="000000"/>
                <w:kern w:val="0"/>
                <w:lang w:bidi="ta-IN"/>
                <w14:ligatures w14:val="none"/>
              </w:rPr>
            </w:pPr>
          </w:p>
        </w:tc>
      </w:tr>
      <w:tr w:rsidR="008C7D64" w:rsidRPr="008C7D64" w14:paraId="4FC89D74" w14:textId="77777777" w:rsidTr="00FB75E5">
        <w:trPr>
          <w:gridAfter w:val="1"/>
          <w:wAfter w:w="98" w:type="dxa"/>
          <w:trHeight w:val="300"/>
        </w:trPr>
        <w:tc>
          <w:tcPr>
            <w:tcW w:w="11589" w:type="dxa"/>
            <w:gridSpan w:val="4"/>
            <w:noWrap/>
          </w:tcPr>
          <w:p w14:paraId="2F4D9E8F" w14:textId="26AE83BE" w:rsidR="008C7D64" w:rsidRPr="008C7D64" w:rsidRDefault="008C7D64" w:rsidP="008C7D64">
            <w:pPr>
              <w:rPr>
                <w:rFonts w:ascii="Calibri" w:eastAsia="Times New Roman" w:hAnsi="Calibri" w:cs="Calibri"/>
                <w:color w:val="000000"/>
                <w:kern w:val="0"/>
                <w:lang w:bidi="ta-IN"/>
                <w14:ligatures w14:val="none"/>
              </w:rPr>
            </w:pPr>
            <w:r w:rsidRPr="000E59BD">
              <w:rPr>
                <w:rFonts w:ascii="Calibri" w:eastAsia="Times New Roman" w:hAnsi="Calibri" w:cs="Calibri"/>
                <w:color w:val="000000"/>
                <w:kern w:val="0"/>
                <w:lang w:bidi="ta-IN"/>
                <w14:ligatures w14:val="none"/>
              </w:rPr>
              <w:t>https://www.aruplab.com/bodyfluids</w:t>
            </w:r>
          </w:p>
        </w:tc>
      </w:tr>
    </w:tbl>
    <w:p w14:paraId="0B78AB5D" w14:textId="77777777" w:rsidR="00FD0F62" w:rsidRDefault="00FD0F62"/>
    <w:sectPr w:rsidR="00FD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BD"/>
    <w:rsid w:val="000E59BD"/>
    <w:rsid w:val="008C7D64"/>
    <w:rsid w:val="00D21935"/>
    <w:rsid w:val="00FD0F6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573D"/>
  <w15:chartTrackingRefBased/>
  <w15:docId w15:val="{1659BB2C-46E3-422D-A601-302C9720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7307">
      <w:bodyDiv w:val="1"/>
      <w:marLeft w:val="0"/>
      <w:marRight w:val="0"/>
      <w:marTop w:val="0"/>
      <w:marBottom w:val="0"/>
      <w:divBdr>
        <w:top w:val="none" w:sz="0" w:space="0" w:color="auto"/>
        <w:left w:val="none" w:sz="0" w:space="0" w:color="auto"/>
        <w:bottom w:val="none" w:sz="0" w:space="0" w:color="auto"/>
        <w:right w:val="none" w:sz="0" w:space="0" w:color="auto"/>
      </w:divBdr>
    </w:div>
    <w:div w:id="568150943">
      <w:bodyDiv w:val="1"/>
      <w:marLeft w:val="0"/>
      <w:marRight w:val="0"/>
      <w:marTop w:val="0"/>
      <w:marBottom w:val="0"/>
      <w:divBdr>
        <w:top w:val="none" w:sz="0" w:space="0" w:color="auto"/>
        <w:left w:val="none" w:sz="0" w:space="0" w:color="auto"/>
        <w:bottom w:val="none" w:sz="0" w:space="0" w:color="auto"/>
        <w:right w:val="none" w:sz="0" w:space="0" w:color="auto"/>
      </w:divBdr>
    </w:div>
    <w:div w:id="13251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5104</Characters>
  <Application>Microsoft Office Word</Application>
  <DocSecurity>0</DocSecurity>
  <Lines>42</Lines>
  <Paragraphs>11</Paragraphs>
  <ScaleCrop>false</ScaleCrop>
  <Company>Summa Health System</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Palamalai, Vikram</dc:creator>
  <cp:keywords/>
  <dc:description/>
  <cp:lastModifiedBy>Palamalai, Vikram</cp:lastModifiedBy>
  <cp:revision>3</cp:revision>
  <dcterms:created xsi:type="dcterms:W3CDTF">2024-03-14T17:35:00Z</dcterms:created>
  <dcterms:modified xsi:type="dcterms:W3CDTF">2024-03-16T15:06:00Z</dcterms:modified>
</cp:coreProperties>
</file>