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3" w:type="dxa"/>
        <w:tblLook w:val="04A0" w:firstRow="1" w:lastRow="0" w:firstColumn="1" w:lastColumn="0" w:noHBand="0" w:noVBand="1"/>
      </w:tblPr>
      <w:tblGrid>
        <w:gridCol w:w="1643"/>
        <w:gridCol w:w="8020"/>
      </w:tblGrid>
      <w:tr w:rsidR="00A851D7" w:rsidRPr="00A851D7" w14:paraId="78DC4D8E" w14:textId="77777777" w:rsidTr="00A851D7">
        <w:trPr>
          <w:trHeight w:val="300"/>
        </w:trPr>
        <w:tc>
          <w:tcPr>
            <w:tcW w:w="9663" w:type="dxa"/>
            <w:gridSpan w:val="2"/>
            <w:noWrap/>
            <w:hideMark/>
          </w:tcPr>
          <w:p w14:paraId="4AB41026" w14:textId="4B1F6C0C" w:rsidR="00A851D7" w:rsidRPr="00A851D7" w:rsidRDefault="00A851D7" w:rsidP="00A851D7">
            <w:pPr>
              <w:spacing w:after="0" w:line="240" w:lineRule="auto"/>
              <w:jc w:val="center"/>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Lactate Dehydrogenase (LDH), Body Fluid</w:t>
            </w:r>
          </w:p>
        </w:tc>
      </w:tr>
      <w:tr w:rsidR="00A851D7" w:rsidRPr="00A851D7" w14:paraId="330DC772" w14:textId="77777777" w:rsidTr="00833C1D">
        <w:trPr>
          <w:trHeight w:val="300"/>
        </w:trPr>
        <w:tc>
          <w:tcPr>
            <w:tcW w:w="9663" w:type="dxa"/>
            <w:gridSpan w:val="2"/>
            <w:noWrap/>
            <w:hideMark/>
          </w:tcPr>
          <w:p w14:paraId="07E68F22"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468B9D0F" w14:textId="77777777" w:rsidTr="00A851D7">
        <w:trPr>
          <w:trHeight w:val="300"/>
        </w:trPr>
        <w:tc>
          <w:tcPr>
            <w:tcW w:w="1643" w:type="dxa"/>
            <w:noWrap/>
            <w:hideMark/>
          </w:tcPr>
          <w:p w14:paraId="32A92DD1" w14:textId="77777777"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CSF LDH</w:t>
            </w:r>
          </w:p>
        </w:tc>
        <w:tc>
          <w:tcPr>
            <w:tcW w:w="8020" w:type="dxa"/>
            <w:noWrap/>
            <w:hideMark/>
          </w:tcPr>
          <w:p w14:paraId="1F4F76C1" w14:textId="77777777"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p>
        </w:tc>
      </w:tr>
      <w:tr w:rsidR="00A851D7" w:rsidRPr="00A851D7" w14:paraId="31AD3CCA" w14:textId="77777777" w:rsidTr="00A851D7">
        <w:trPr>
          <w:trHeight w:val="300"/>
        </w:trPr>
        <w:tc>
          <w:tcPr>
            <w:tcW w:w="1643" w:type="dxa"/>
            <w:noWrap/>
            <w:hideMark/>
          </w:tcPr>
          <w:p w14:paraId="75152535"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Clinical Indications</w:t>
            </w:r>
          </w:p>
        </w:tc>
        <w:tc>
          <w:tcPr>
            <w:tcW w:w="8020" w:type="dxa"/>
            <w:noWrap/>
            <w:hideMark/>
          </w:tcPr>
          <w:p w14:paraId="47415D83"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CSF evaluation (non-routine)</w:t>
            </w:r>
          </w:p>
        </w:tc>
      </w:tr>
      <w:tr w:rsidR="00A851D7" w:rsidRPr="00A851D7" w14:paraId="6A478D10" w14:textId="77777777" w:rsidTr="00D96163">
        <w:trPr>
          <w:trHeight w:val="300"/>
        </w:trPr>
        <w:tc>
          <w:tcPr>
            <w:tcW w:w="9663" w:type="dxa"/>
            <w:gridSpan w:val="2"/>
            <w:noWrap/>
            <w:hideMark/>
          </w:tcPr>
          <w:p w14:paraId="06684C66"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7839873B" w14:textId="77777777" w:rsidTr="00A851D7">
        <w:trPr>
          <w:trHeight w:val="300"/>
        </w:trPr>
        <w:tc>
          <w:tcPr>
            <w:tcW w:w="1643" w:type="dxa"/>
            <w:vMerge w:val="restart"/>
            <w:noWrap/>
            <w:hideMark/>
          </w:tcPr>
          <w:p w14:paraId="55FB9ED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 Interval and/or Interpretive Information</w:t>
            </w:r>
          </w:p>
        </w:tc>
        <w:tc>
          <w:tcPr>
            <w:tcW w:w="8020" w:type="dxa"/>
            <w:noWrap/>
            <w:hideMark/>
          </w:tcPr>
          <w:p w14:paraId="310A6E63"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Normal CSF LDH activities have been described as &lt;40 U/L for adults and &lt;70 U/L for neonates. [1]</w:t>
            </w:r>
          </w:p>
        </w:tc>
      </w:tr>
      <w:tr w:rsidR="00A851D7" w:rsidRPr="00A851D7" w14:paraId="480655A3" w14:textId="77777777" w:rsidTr="00A851D7">
        <w:trPr>
          <w:trHeight w:val="300"/>
        </w:trPr>
        <w:tc>
          <w:tcPr>
            <w:tcW w:w="1643" w:type="dxa"/>
            <w:vMerge/>
            <w:noWrap/>
            <w:hideMark/>
          </w:tcPr>
          <w:p w14:paraId="5205D64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44FA0E6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They have also been described as about 10% of corresponding serum activity. [1]</w:t>
            </w:r>
          </w:p>
        </w:tc>
      </w:tr>
      <w:tr w:rsidR="00A851D7" w:rsidRPr="00A851D7" w14:paraId="70610914" w14:textId="77777777" w:rsidTr="00A851D7">
        <w:trPr>
          <w:trHeight w:val="300"/>
        </w:trPr>
        <w:tc>
          <w:tcPr>
            <w:tcW w:w="1643" w:type="dxa"/>
            <w:vMerge/>
            <w:noWrap/>
            <w:hideMark/>
          </w:tcPr>
          <w:p w14:paraId="3610231C"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241FBB4C"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Elevations of CSF LDH activity have been associated with a variety of neurologic disorders [1</w:t>
            </w:r>
            <w:proofErr w:type="gramStart"/>
            <w:r w:rsidRPr="00A851D7">
              <w:rPr>
                <w:rFonts w:ascii="Calibri" w:eastAsia="Times New Roman" w:hAnsi="Calibri" w:cs="Calibri"/>
                <w:color w:val="000000"/>
                <w:kern w:val="0"/>
                <w:lang w:bidi="ta-IN"/>
                <w14:ligatures w14:val="none"/>
              </w:rPr>
              <w:t>], but</w:t>
            </w:r>
            <w:proofErr w:type="gramEnd"/>
            <w:r w:rsidRPr="00A851D7">
              <w:rPr>
                <w:rFonts w:ascii="Calibri" w:eastAsia="Times New Roman" w:hAnsi="Calibri" w:cs="Calibri"/>
                <w:color w:val="000000"/>
                <w:kern w:val="0"/>
                <w:lang w:bidi="ta-IN"/>
                <w14:ligatures w14:val="none"/>
              </w:rPr>
              <w:t xml:space="preserve"> are generally not considered part of routine CSF testing.</w:t>
            </w:r>
          </w:p>
        </w:tc>
      </w:tr>
      <w:tr w:rsidR="00A851D7" w:rsidRPr="00A851D7" w14:paraId="64E7D1E1" w14:textId="77777777" w:rsidTr="00432DF6">
        <w:trPr>
          <w:trHeight w:val="300"/>
        </w:trPr>
        <w:tc>
          <w:tcPr>
            <w:tcW w:w="9663" w:type="dxa"/>
            <w:gridSpan w:val="2"/>
            <w:noWrap/>
            <w:hideMark/>
          </w:tcPr>
          <w:p w14:paraId="66EB1DEC"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742C354F" w14:textId="77777777" w:rsidTr="00A851D7">
        <w:trPr>
          <w:trHeight w:val="300"/>
        </w:trPr>
        <w:tc>
          <w:tcPr>
            <w:tcW w:w="1643" w:type="dxa"/>
            <w:vMerge w:val="restart"/>
            <w:noWrap/>
            <w:hideMark/>
          </w:tcPr>
          <w:p w14:paraId="2C6B9B3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References</w:t>
            </w:r>
          </w:p>
        </w:tc>
        <w:tc>
          <w:tcPr>
            <w:tcW w:w="8020" w:type="dxa"/>
            <w:noWrap/>
            <w:hideMark/>
          </w:tcPr>
          <w:p w14:paraId="372DD40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[1]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A851D7" w:rsidRPr="00A851D7" w14:paraId="130A6A06" w14:textId="77777777" w:rsidTr="00A851D7">
        <w:trPr>
          <w:trHeight w:val="300"/>
        </w:trPr>
        <w:tc>
          <w:tcPr>
            <w:tcW w:w="1643" w:type="dxa"/>
            <w:vMerge/>
            <w:noWrap/>
            <w:hideMark/>
          </w:tcPr>
          <w:p w14:paraId="5F0601F2"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048590A3"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[2] Jacobs DS, DeMott WR, Oxley DK. 2001. Jacob’s &amp; DeMott Laboratory Test Handbook. 5th Ed. Lexi-Comp: Hudson, OH. ISBN: 1-930598-42-4</w:t>
            </w:r>
          </w:p>
        </w:tc>
      </w:tr>
      <w:tr w:rsidR="00A851D7" w:rsidRPr="00A851D7" w14:paraId="65C6D502" w14:textId="77777777" w:rsidTr="00436191">
        <w:trPr>
          <w:trHeight w:val="300"/>
        </w:trPr>
        <w:tc>
          <w:tcPr>
            <w:tcW w:w="9663" w:type="dxa"/>
            <w:gridSpan w:val="2"/>
            <w:noWrap/>
            <w:hideMark/>
          </w:tcPr>
          <w:p w14:paraId="30CDE494"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51260BC9" w14:textId="77777777" w:rsidTr="00843FCB">
        <w:trPr>
          <w:trHeight w:val="300"/>
        </w:trPr>
        <w:tc>
          <w:tcPr>
            <w:tcW w:w="9663" w:type="dxa"/>
            <w:gridSpan w:val="2"/>
            <w:noWrap/>
            <w:hideMark/>
          </w:tcPr>
          <w:p w14:paraId="06890233" w14:textId="1B67E19B"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Pericardial Fluid LDH</w:t>
            </w:r>
          </w:p>
        </w:tc>
      </w:tr>
      <w:tr w:rsidR="00A851D7" w:rsidRPr="00A851D7" w14:paraId="7B115CC9" w14:textId="77777777" w:rsidTr="00A851D7">
        <w:trPr>
          <w:trHeight w:val="300"/>
        </w:trPr>
        <w:tc>
          <w:tcPr>
            <w:tcW w:w="1643" w:type="dxa"/>
            <w:noWrap/>
            <w:hideMark/>
          </w:tcPr>
          <w:p w14:paraId="3B9EECC5"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Clinical Indications</w:t>
            </w:r>
          </w:p>
        </w:tc>
        <w:tc>
          <w:tcPr>
            <w:tcW w:w="8020" w:type="dxa"/>
            <w:noWrap/>
            <w:hideMark/>
          </w:tcPr>
          <w:p w14:paraId="5AEE17BC"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Supportive evidence for differentiation of exudates and transudates</w:t>
            </w:r>
          </w:p>
        </w:tc>
      </w:tr>
      <w:tr w:rsidR="00A851D7" w:rsidRPr="00A851D7" w14:paraId="45F64D86" w14:textId="77777777" w:rsidTr="00181FA0">
        <w:trPr>
          <w:trHeight w:val="300"/>
        </w:trPr>
        <w:tc>
          <w:tcPr>
            <w:tcW w:w="9663" w:type="dxa"/>
            <w:gridSpan w:val="2"/>
            <w:noWrap/>
            <w:hideMark/>
          </w:tcPr>
          <w:p w14:paraId="7759AAB1"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247A3F7D" w14:textId="77777777" w:rsidTr="00A851D7">
        <w:trPr>
          <w:trHeight w:val="300"/>
        </w:trPr>
        <w:tc>
          <w:tcPr>
            <w:tcW w:w="1643" w:type="dxa"/>
            <w:vMerge w:val="restart"/>
            <w:noWrap/>
            <w:hideMark/>
          </w:tcPr>
          <w:p w14:paraId="1508E60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 Interval and/or Interpretive Information</w:t>
            </w:r>
          </w:p>
        </w:tc>
        <w:tc>
          <w:tcPr>
            <w:tcW w:w="8020" w:type="dxa"/>
            <w:noWrap/>
            <w:hideMark/>
          </w:tcPr>
          <w:p w14:paraId="116D2D9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LDH activity (&gt;200 IU/L) and/or a fluid-to-serum LDH ratio of &gt;0.6 is one component of Light’s criteria for differentiating exudates from </w:t>
            </w:r>
            <w:proofErr w:type="gramStart"/>
            <w:r w:rsidRPr="00A851D7">
              <w:rPr>
                <w:rFonts w:ascii="Calibri" w:eastAsia="Times New Roman" w:hAnsi="Calibri" w:cs="Calibri"/>
                <w:color w:val="000000"/>
                <w:kern w:val="0"/>
                <w:lang w:bidi="ta-IN"/>
                <w14:ligatures w14:val="none"/>
              </w:rPr>
              <w:t>transudates, and</w:t>
            </w:r>
            <w:proofErr w:type="gramEnd"/>
            <w:r w:rsidRPr="00A851D7">
              <w:rPr>
                <w:rFonts w:ascii="Calibri" w:eastAsia="Times New Roman" w:hAnsi="Calibri" w:cs="Calibri"/>
                <w:color w:val="000000"/>
                <w:kern w:val="0"/>
                <w:lang w:bidi="ta-IN"/>
                <w14:ligatures w14:val="none"/>
              </w:rPr>
              <w:t xml:space="preserve"> have been applied to pericardial fluids in one report. [1]</w:t>
            </w:r>
          </w:p>
        </w:tc>
      </w:tr>
      <w:tr w:rsidR="00A851D7" w:rsidRPr="00A851D7" w14:paraId="5A08BD01" w14:textId="77777777" w:rsidTr="00A851D7">
        <w:trPr>
          <w:trHeight w:val="300"/>
        </w:trPr>
        <w:tc>
          <w:tcPr>
            <w:tcW w:w="1643" w:type="dxa"/>
            <w:vMerge/>
            <w:noWrap/>
            <w:hideMark/>
          </w:tcPr>
          <w:p w14:paraId="00E2652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084F01E7"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LDH activity and/or LDH fluid-to-serum ratio, however, have poor sensitivity for differentiating exudates from transudates on their own. [2]</w:t>
            </w:r>
          </w:p>
        </w:tc>
      </w:tr>
      <w:tr w:rsidR="00A851D7" w:rsidRPr="00A851D7" w14:paraId="7C319143" w14:textId="77777777" w:rsidTr="00A851D7">
        <w:trPr>
          <w:trHeight w:val="300"/>
        </w:trPr>
        <w:tc>
          <w:tcPr>
            <w:tcW w:w="1643" w:type="dxa"/>
            <w:vMerge/>
            <w:noWrap/>
            <w:hideMark/>
          </w:tcPr>
          <w:p w14:paraId="1C47BCA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071CF00B"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In a study of 30 patients undergoing elective open heart surgery (without evidence of pericardial disease), the “normal” pericardial fluid mean LDH activity was 398 IU/L (99% confidence interval, 276-517 IU/L). [3]</w:t>
            </w:r>
          </w:p>
        </w:tc>
      </w:tr>
      <w:tr w:rsidR="00A851D7" w:rsidRPr="00A851D7" w14:paraId="484CC7CB" w14:textId="77777777" w:rsidTr="00A851D7">
        <w:trPr>
          <w:trHeight w:val="300"/>
        </w:trPr>
        <w:tc>
          <w:tcPr>
            <w:tcW w:w="1643" w:type="dxa"/>
            <w:vMerge/>
            <w:noWrap/>
            <w:hideMark/>
          </w:tcPr>
          <w:p w14:paraId="149EAB2F"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2619D6A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This was also expressed as a “normal” mean fluid-to-serum LDH ratio of 2.4 (99% confidence interval, 1.3-3.5). [3]</w:t>
            </w:r>
          </w:p>
        </w:tc>
      </w:tr>
      <w:tr w:rsidR="00A851D7" w:rsidRPr="00A851D7" w14:paraId="71E883DC" w14:textId="77777777" w:rsidTr="00363BE4">
        <w:trPr>
          <w:trHeight w:val="300"/>
        </w:trPr>
        <w:tc>
          <w:tcPr>
            <w:tcW w:w="9663" w:type="dxa"/>
            <w:gridSpan w:val="2"/>
            <w:noWrap/>
            <w:hideMark/>
          </w:tcPr>
          <w:p w14:paraId="518EE4B3"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575177CA" w14:textId="77777777" w:rsidTr="00A851D7">
        <w:trPr>
          <w:trHeight w:val="300"/>
        </w:trPr>
        <w:tc>
          <w:tcPr>
            <w:tcW w:w="1643" w:type="dxa"/>
            <w:vMerge w:val="restart"/>
            <w:noWrap/>
            <w:hideMark/>
          </w:tcPr>
          <w:p w14:paraId="00179127"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References</w:t>
            </w:r>
          </w:p>
        </w:tc>
        <w:tc>
          <w:tcPr>
            <w:tcW w:w="8020" w:type="dxa"/>
            <w:noWrap/>
            <w:hideMark/>
          </w:tcPr>
          <w:p w14:paraId="23282CF5"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[1] Burgess LJ, Reuter H, Taljaard JJF, </w:t>
            </w:r>
            <w:proofErr w:type="spellStart"/>
            <w:r w:rsidRPr="00A851D7">
              <w:rPr>
                <w:rFonts w:ascii="Calibri" w:eastAsia="Times New Roman" w:hAnsi="Calibri" w:cs="Calibri"/>
                <w:color w:val="000000"/>
                <w:kern w:val="0"/>
                <w:lang w:bidi="ta-IN"/>
                <w14:ligatures w14:val="none"/>
              </w:rPr>
              <w:t>Doubell</w:t>
            </w:r>
            <w:proofErr w:type="spellEnd"/>
            <w:r w:rsidRPr="00A851D7">
              <w:rPr>
                <w:rFonts w:ascii="Calibri" w:eastAsia="Times New Roman" w:hAnsi="Calibri" w:cs="Calibri"/>
                <w:color w:val="000000"/>
                <w:kern w:val="0"/>
                <w:lang w:bidi="ta-IN"/>
                <w14:ligatures w14:val="none"/>
              </w:rPr>
              <w:t xml:space="preserve"> AF. 2002. Role of biochemical tests in the diagnosis of large pericardial effusions. CHEST. 121(2):495-499.</w:t>
            </w:r>
          </w:p>
        </w:tc>
      </w:tr>
      <w:tr w:rsidR="00A851D7" w:rsidRPr="00A851D7" w14:paraId="3E20FB18" w14:textId="77777777" w:rsidTr="00A851D7">
        <w:trPr>
          <w:trHeight w:val="300"/>
        </w:trPr>
        <w:tc>
          <w:tcPr>
            <w:tcW w:w="1643" w:type="dxa"/>
            <w:vMerge/>
            <w:noWrap/>
            <w:hideMark/>
          </w:tcPr>
          <w:p w14:paraId="6B6D5E1E"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5DC087A7"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[2] Meyers DG, Meyers RE, Prendergast TW. 1997. The usefulness of diagnostic tests on pericardial fluid. Chest. 111(5):1213-21.</w:t>
            </w:r>
          </w:p>
        </w:tc>
      </w:tr>
      <w:tr w:rsidR="00A851D7" w:rsidRPr="00A851D7" w14:paraId="26F68F51" w14:textId="77777777" w:rsidTr="00A851D7">
        <w:trPr>
          <w:trHeight w:val="300"/>
        </w:trPr>
        <w:tc>
          <w:tcPr>
            <w:tcW w:w="1643" w:type="dxa"/>
            <w:vMerge/>
            <w:noWrap/>
            <w:hideMark/>
          </w:tcPr>
          <w:p w14:paraId="124D910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44C0793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[3] Ben-Horin S, </w:t>
            </w:r>
            <w:proofErr w:type="spellStart"/>
            <w:r w:rsidRPr="00A851D7">
              <w:rPr>
                <w:rFonts w:ascii="Calibri" w:eastAsia="Times New Roman" w:hAnsi="Calibri" w:cs="Calibri"/>
                <w:color w:val="000000"/>
                <w:kern w:val="0"/>
                <w:lang w:bidi="ta-IN"/>
                <w14:ligatures w14:val="none"/>
              </w:rPr>
              <w:t>Shinfeld</w:t>
            </w:r>
            <w:proofErr w:type="spellEnd"/>
            <w:r w:rsidRPr="00A851D7">
              <w:rPr>
                <w:rFonts w:ascii="Calibri" w:eastAsia="Times New Roman" w:hAnsi="Calibri" w:cs="Calibri"/>
                <w:color w:val="000000"/>
                <w:kern w:val="0"/>
                <w:lang w:bidi="ta-IN"/>
                <w14:ligatures w14:val="none"/>
              </w:rPr>
              <w:t xml:space="preserve"> A, Kachel E, Chetrit A, </w:t>
            </w:r>
            <w:proofErr w:type="spellStart"/>
            <w:r w:rsidRPr="00A851D7">
              <w:rPr>
                <w:rFonts w:ascii="Calibri" w:eastAsia="Times New Roman" w:hAnsi="Calibri" w:cs="Calibri"/>
                <w:color w:val="000000"/>
                <w:kern w:val="0"/>
                <w:lang w:bidi="ta-IN"/>
                <w14:ligatures w14:val="none"/>
              </w:rPr>
              <w:t>Livneh</w:t>
            </w:r>
            <w:proofErr w:type="spellEnd"/>
            <w:r w:rsidRPr="00A851D7">
              <w:rPr>
                <w:rFonts w:ascii="Calibri" w:eastAsia="Times New Roman" w:hAnsi="Calibri" w:cs="Calibri"/>
                <w:color w:val="000000"/>
                <w:kern w:val="0"/>
                <w:lang w:bidi="ta-IN"/>
                <w14:ligatures w14:val="none"/>
              </w:rPr>
              <w:t xml:space="preserve"> A. 2005. The composition of normal pericardial fluid and its implications for diagnosing pericardial effusions. The American Journal of Medicine. 118:636-640.</w:t>
            </w:r>
          </w:p>
        </w:tc>
      </w:tr>
      <w:tr w:rsidR="00A851D7" w:rsidRPr="00A851D7" w14:paraId="6FC9C811" w14:textId="77777777" w:rsidTr="009E591C">
        <w:trPr>
          <w:trHeight w:val="300"/>
        </w:trPr>
        <w:tc>
          <w:tcPr>
            <w:tcW w:w="9663" w:type="dxa"/>
            <w:gridSpan w:val="2"/>
            <w:noWrap/>
            <w:hideMark/>
          </w:tcPr>
          <w:p w14:paraId="763BD0E5"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52FBEFCC" w14:textId="77777777" w:rsidTr="00080B7A">
        <w:trPr>
          <w:trHeight w:val="300"/>
        </w:trPr>
        <w:tc>
          <w:tcPr>
            <w:tcW w:w="9663" w:type="dxa"/>
            <w:gridSpan w:val="2"/>
            <w:noWrap/>
            <w:hideMark/>
          </w:tcPr>
          <w:p w14:paraId="31242714" w14:textId="0AC2A473"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Peritoneal/​Ascites Fluid LDH</w:t>
            </w:r>
          </w:p>
        </w:tc>
      </w:tr>
      <w:tr w:rsidR="00A851D7" w:rsidRPr="00A851D7" w14:paraId="00C6812F" w14:textId="77777777" w:rsidTr="00A851D7">
        <w:trPr>
          <w:trHeight w:val="300"/>
        </w:trPr>
        <w:tc>
          <w:tcPr>
            <w:tcW w:w="1643" w:type="dxa"/>
            <w:noWrap/>
            <w:hideMark/>
          </w:tcPr>
          <w:p w14:paraId="262B548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Clinical Indications</w:t>
            </w:r>
          </w:p>
        </w:tc>
        <w:tc>
          <w:tcPr>
            <w:tcW w:w="8020" w:type="dxa"/>
            <w:noWrap/>
            <w:hideMark/>
          </w:tcPr>
          <w:p w14:paraId="67569CB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Supportive evidence for differentiation of secondary from primary bacterial peritonitis</w:t>
            </w:r>
          </w:p>
        </w:tc>
      </w:tr>
      <w:tr w:rsidR="00A851D7" w:rsidRPr="00A851D7" w14:paraId="64D5007D" w14:textId="77777777" w:rsidTr="00024F9B">
        <w:trPr>
          <w:trHeight w:val="300"/>
        </w:trPr>
        <w:tc>
          <w:tcPr>
            <w:tcW w:w="9663" w:type="dxa"/>
            <w:gridSpan w:val="2"/>
            <w:noWrap/>
            <w:hideMark/>
          </w:tcPr>
          <w:p w14:paraId="44C8C25B"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1CF3D80D" w14:textId="77777777" w:rsidTr="00A851D7">
        <w:trPr>
          <w:trHeight w:val="300"/>
        </w:trPr>
        <w:tc>
          <w:tcPr>
            <w:tcW w:w="1643" w:type="dxa"/>
            <w:vMerge w:val="restart"/>
            <w:noWrap/>
            <w:hideMark/>
          </w:tcPr>
          <w:p w14:paraId="5A8096AC"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 Interval and/or Interpretive Information</w:t>
            </w:r>
          </w:p>
        </w:tc>
        <w:tc>
          <w:tcPr>
            <w:tcW w:w="8020" w:type="dxa"/>
            <w:noWrap/>
            <w:hideMark/>
          </w:tcPr>
          <w:p w14:paraId="1221277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Differentiation of secondary bacterial peritonitis (GI tract perforation) from spontaneous primary bacterial peritonitis is supported when two of the following three criteria are present: ascites fluid total protein &gt;1g/dL, ascites fluid glucose &lt;50 mg/dL, and ascites fluid LDH &gt;225 IU/L (or greater than the serum upper reference limit). [1,2]</w:t>
            </w:r>
          </w:p>
        </w:tc>
      </w:tr>
      <w:tr w:rsidR="00A851D7" w:rsidRPr="00A851D7" w14:paraId="2518187B" w14:textId="77777777" w:rsidTr="00A851D7">
        <w:trPr>
          <w:trHeight w:val="300"/>
        </w:trPr>
        <w:tc>
          <w:tcPr>
            <w:tcW w:w="1643" w:type="dxa"/>
            <w:vMerge/>
            <w:noWrap/>
            <w:hideMark/>
          </w:tcPr>
          <w:p w14:paraId="51B419B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054AE3F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The American Association for the Study of Liver Disease practice guideline, Management of Adult Patients with Ascites Due to Cirrhosis (Update 2012) lists testing for ascitic fluid LDH as “optional (where there is suspicion of infection).” [3]</w:t>
            </w:r>
          </w:p>
        </w:tc>
      </w:tr>
      <w:tr w:rsidR="00A851D7" w:rsidRPr="00A851D7" w14:paraId="48FBAFD5" w14:textId="77777777" w:rsidTr="00A851D7">
        <w:trPr>
          <w:trHeight w:val="300"/>
        </w:trPr>
        <w:tc>
          <w:tcPr>
            <w:tcW w:w="1643" w:type="dxa"/>
            <w:vMerge/>
            <w:noWrap/>
            <w:hideMark/>
          </w:tcPr>
          <w:p w14:paraId="286FDE6F"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66B50131"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The serum-ascites albumin gradient demonstrates superior performance over either ascitic fluid LDH or ascites-to-serum LDH ratio for the differentiation of peritoneal transudates from exudates. [4,5,6]</w:t>
            </w:r>
          </w:p>
        </w:tc>
      </w:tr>
      <w:tr w:rsidR="00A851D7" w:rsidRPr="00A851D7" w14:paraId="40C1EEA1" w14:textId="77777777" w:rsidTr="00287F0A">
        <w:trPr>
          <w:trHeight w:val="300"/>
        </w:trPr>
        <w:tc>
          <w:tcPr>
            <w:tcW w:w="9663" w:type="dxa"/>
            <w:gridSpan w:val="2"/>
            <w:noWrap/>
            <w:hideMark/>
          </w:tcPr>
          <w:p w14:paraId="4FDBDD34"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7865BAC2" w14:textId="77777777" w:rsidTr="00A851D7">
        <w:trPr>
          <w:trHeight w:val="300"/>
        </w:trPr>
        <w:tc>
          <w:tcPr>
            <w:tcW w:w="1643" w:type="dxa"/>
            <w:vMerge w:val="restart"/>
            <w:noWrap/>
            <w:hideMark/>
          </w:tcPr>
          <w:p w14:paraId="6AEC6F0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References</w:t>
            </w:r>
          </w:p>
        </w:tc>
        <w:tc>
          <w:tcPr>
            <w:tcW w:w="8020" w:type="dxa"/>
            <w:noWrap/>
            <w:hideMark/>
          </w:tcPr>
          <w:p w14:paraId="0B6D3A6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[1] Runyon BA, Hoefs JC. 1984. Ascitic fluid analysis in the differentiation of spontaneous bacterial peritonitis from gastrointestinal tract perforation into ascitic fluid. Hepatology. 4(3):447-450.</w:t>
            </w:r>
          </w:p>
        </w:tc>
      </w:tr>
      <w:tr w:rsidR="00A851D7" w:rsidRPr="00A851D7" w14:paraId="5E5781A3" w14:textId="77777777" w:rsidTr="00A851D7">
        <w:trPr>
          <w:trHeight w:val="300"/>
        </w:trPr>
        <w:tc>
          <w:tcPr>
            <w:tcW w:w="1643" w:type="dxa"/>
            <w:vMerge/>
            <w:noWrap/>
            <w:hideMark/>
          </w:tcPr>
          <w:p w14:paraId="71BA99A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1EA5EBE5"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[2] Block DR, Franke DDH. Quick Guide to Body Fluid Testing. AACC Press (Washington, DC), 2015. ISBN 978-1-59425-180-1.</w:t>
            </w:r>
          </w:p>
        </w:tc>
      </w:tr>
      <w:tr w:rsidR="00A851D7" w:rsidRPr="00A851D7" w14:paraId="44EE170C" w14:textId="77777777" w:rsidTr="00A851D7">
        <w:trPr>
          <w:trHeight w:val="300"/>
        </w:trPr>
        <w:tc>
          <w:tcPr>
            <w:tcW w:w="1643" w:type="dxa"/>
            <w:vMerge/>
            <w:noWrap/>
            <w:hideMark/>
          </w:tcPr>
          <w:p w14:paraId="5E15351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6EA1816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[3] Runyon BA. 2012. Practice Guideline. Management of Adult Patients with Ascites Due to Cirrhosis: Update 2012. American Association for the Study of Liver Diseases.</w:t>
            </w:r>
          </w:p>
        </w:tc>
      </w:tr>
      <w:tr w:rsidR="00A851D7" w:rsidRPr="00A851D7" w14:paraId="3F99F1E1" w14:textId="77777777" w:rsidTr="00A851D7">
        <w:trPr>
          <w:trHeight w:val="300"/>
        </w:trPr>
        <w:tc>
          <w:tcPr>
            <w:tcW w:w="1643" w:type="dxa"/>
            <w:vMerge/>
            <w:noWrap/>
            <w:hideMark/>
          </w:tcPr>
          <w:p w14:paraId="7CF6FDE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2A7758E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[4] Runyon BA, Montano AA, </w:t>
            </w:r>
            <w:proofErr w:type="spellStart"/>
            <w:r w:rsidRPr="00A851D7">
              <w:rPr>
                <w:rFonts w:ascii="Calibri" w:eastAsia="Times New Roman" w:hAnsi="Calibri" w:cs="Calibri"/>
                <w:color w:val="000000"/>
                <w:kern w:val="0"/>
                <w:lang w:bidi="ta-IN"/>
                <w14:ligatures w14:val="none"/>
              </w:rPr>
              <w:t>Akriviadis</w:t>
            </w:r>
            <w:proofErr w:type="spellEnd"/>
            <w:r w:rsidRPr="00A851D7">
              <w:rPr>
                <w:rFonts w:ascii="Calibri" w:eastAsia="Times New Roman" w:hAnsi="Calibri" w:cs="Calibri"/>
                <w:color w:val="000000"/>
                <w:kern w:val="0"/>
                <w:lang w:bidi="ta-IN"/>
                <w14:ligatures w14:val="none"/>
              </w:rPr>
              <w:t xml:space="preserve"> EA, Antillon MR, Irving MA, </w:t>
            </w:r>
            <w:proofErr w:type="spellStart"/>
            <w:r w:rsidRPr="00A851D7">
              <w:rPr>
                <w:rFonts w:ascii="Calibri" w:eastAsia="Times New Roman" w:hAnsi="Calibri" w:cs="Calibri"/>
                <w:color w:val="000000"/>
                <w:kern w:val="0"/>
                <w:lang w:bidi="ta-IN"/>
                <w14:ligatures w14:val="none"/>
              </w:rPr>
              <w:t>McHutchison</w:t>
            </w:r>
            <w:proofErr w:type="spellEnd"/>
            <w:r w:rsidRPr="00A851D7">
              <w:rPr>
                <w:rFonts w:ascii="Calibri" w:eastAsia="Times New Roman" w:hAnsi="Calibri" w:cs="Calibri"/>
                <w:color w:val="000000"/>
                <w:kern w:val="0"/>
                <w:lang w:bidi="ta-IN"/>
                <w14:ligatures w14:val="none"/>
              </w:rPr>
              <w:t xml:space="preserve"> JG. 1992. The serum-ascites albumin gradient is superior to the exudate-transudate concept in the differential diagnosis of ascites. Ann Int Med. 117(3):215-20.</w:t>
            </w:r>
          </w:p>
        </w:tc>
      </w:tr>
      <w:tr w:rsidR="00A851D7" w:rsidRPr="00A851D7" w14:paraId="4B98A5BE" w14:textId="77777777" w:rsidTr="00A851D7">
        <w:trPr>
          <w:trHeight w:val="300"/>
        </w:trPr>
        <w:tc>
          <w:tcPr>
            <w:tcW w:w="1643" w:type="dxa"/>
            <w:vMerge/>
            <w:noWrap/>
            <w:hideMark/>
          </w:tcPr>
          <w:p w14:paraId="0FE1106B"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483F9DE1"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[5] </w:t>
            </w:r>
            <w:proofErr w:type="spellStart"/>
            <w:r w:rsidRPr="00A851D7">
              <w:rPr>
                <w:rFonts w:ascii="Calibri" w:eastAsia="Times New Roman" w:hAnsi="Calibri" w:cs="Calibri"/>
                <w:color w:val="000000"/>
                <w:kern w:val="0"/>
                <w:lang w:bidi="ta-IN"/>
                <w14:ligatures w14:val="none"/>
              </w:rPr>
              <w:t>Akriviadis</w:t>
            </w:r>
            <w:proofErr w:type="spellEnd"/>
            <w:r w:rsidRPr="00A851D7">
              <w:rPr>
                <w:rFonts w:ascii="Calibri" w:eastAsia="Times New Roman" w:hAnsi="Calibri" w:cs="Calibri"/>
                <w:color w:val="000000"/>
                <w:kern w:val="0"/>
                <w:lang w:bidi="ta-IN"/>
                <w14:ligatures w14:val="none"/>
              </w:rPr>
              <w:t xml:space="preserve"> EA, </w:t>
            </w:r>
            <w:proofErr w:type="spellStart"/>
            <w:r w:rsidRPr="00A851D7">
              <w:rPr>
                <w:rFonts w:ascii="Calibri" w:eastAsia="Times New Roman" w:hAnsi="Calibri" w:cs="Calibri"/>
                <w:color w:val="000000"/>
                <w:kern w:val="0"/>
                <w:lang w:bidi="ta-IN"/>
                <w14:ligatures w14:val="none"/>
              </w:rPr>
              <w:t>Kapnias</w:t>
            </w:r>
            <w:proofErr w:type="spellEnd"/>
            <w:r w:rsidRPr="00A851D7">
              <w:rPr>
                <w:rFonts w:ascii="Calibri" w:eastAsia="Times New Roman" w:hAnsi="Calibri" w:cs="Calibri"/>
                <w:color w:val="000000"/>
                <w:kern w:val="0"/>
                <w:lang w:bidi="ta-IN"/>
                <w14:ligatures w14:val="none"/>
              </w:rPr>
              <w:t xml:space="preserve"> D, </w:t>
            </w:r>
            <w:proofErr w:type="spellStart"/>
            <w:r w:rsidRPr="00A851D7">
              <w:rPr>
                <w:rFonts w:ascii="Calibri" w:eastAsia="Times New Roman" w:hAnsi="Calibri" w:cs="Calibri"/>
                <w:color w:val="000000"/>
                <w:kern w:val="0"/>
                <w:lang w:bidi="ta-IN"/>
                <w14:ligatures w14:val="none"/>
              </w:rPr>
              <w:t>Hadjigavriel</w:t>
            </w:r>
            <w:proofErr w:type="spellEnd"/>
            <w:r w:rsidRPr="00A851D7">
              <w:rPr>
                <w:rFonts w:ascii="Calibri" w:eastAsia="Times New Roman" w:hAnsi="Calibri" w:cs="Calibri"/>
                <w:color w:val="000000"/>
                <w:kern w:val="0"/>
                <w:lang w:bidi="ta-IN"/>
                <w14:ligatures w14:val="none"/>
              </w:rPr>
              <w:t xml:space="preserve"> M, </w:t>
            </w:r>
            <w:proofErr w:type="spellStart"/>
            <w:r w:rsidRPr="00A851D7">
              <w:rPr>
                <w:rFonts w:ascii="Calibri" w:eastAsia="Times New Roman" w:hAnsi="Calibri" w:cs="Calibri"/>
                <w:color w:val="000000"/>
                <w:kern w:val="0"/>
                <w:lang w:bidi="ta-IN"/>
                <w14:ligatures w14:val="none"/>
              </w:rPr>
              <w:t>Mitsiou</w:t>
            </w:r>
            <w:proofErr w:type="spellEnd"/>
            <w:r w:rsidRPr="00A851D7">
              <w:rPr>
                <w:rFonts w:ascii="Calibri" w:eastAsia="Times New Roman" w:hAnsi="Calibri" w:cs="Calibri"/>
                <w:color w:val="000000"/>
                <w:kern w:val="0"/>
                <w:lang w:bidi="ta-IN"/>
                <w14:ligatures w14:val="none"/>
              </w:rPr>
              <w:t xml:space="preserve"> A, </w:t>
            </w:r>
            <w:proofErr w:type="spellStart"/>
            <w:r w:rsidRPr="00A851D7">
              <w:rPr>
                <w:rFonts w:ascii="Calibri" w:eastAsia="Times New Roman" w:hAnsi="Calibri" w:cs="Calibri"/>
                <w:color w:val="000000"/>
                <w:kern w:val="0"/>
                <w:lang w:bidi="ta-IN"/>
                <w14:ligatures w14:val="none"/>
              </w:rPr>
              <w:t>Goulis</w:t>
            </w:r>
            <w:proofErr w:type="spellEnd"/>
            <w:r w:rsidRPr="00A851D7">
              <w:rPr>
                <w:rFonts w:ascii="Calibri" w:eastAsia="Times New Roman" w:hAnsi="Calibri" w:cs="Calibri"/>
                <w:color w:val="000000"/>
                <w:kern w:val="0"/>
                <w:lang w:bidi="ta-IN"/>
                <w14:ligatures w14:val="none"/>
              </w:rPr>
              <w:t xml:space="preserve"> J. 1996. Serum/ascites albumin gradient: its value as a rational approach to the differential diagnosis of ascites. Scand J Gastroenterol. 31(8):814-7.</w:t>
            </w:r>
          </w:p>
        </w:tc>
      </w:tr>
      <w:tr w:rsidR="00A851D7" w:rsidRPr="00A851D7" w14:paraId="4C528EB4" w14:textId="77777777" w:rsidTr="00A851D7">
        <w:trPr>
          <w:trHeight w:val="300"/>
        </w:trPr>
        <w:tc>
          <w:tcPr>
            <w:tcW w:w="1643" w:type="dxa"/>
            <w:vMerge/>
            <w:noWrap/>
            <w:hideMark/>
          </w:tcPr>
          <w:p w14:paraId="3A1B3E2B"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422CD0C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[6]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A851D7" w:rsidRPr="00A851D7" w14:paraId="6D4A37B6" w14:textId="77777777" w:rsidTr="00144D81">
        <w:trPr>
          <w:trHeight w:val="300"/>
        </w:trPr>
        <w:tc>
          <w:tcPr>
            <w:tcW w:w="9663" w:type="dxa"/>
            <w:gridSpan w:val="2"/>
            <w:noWrap/>
            <w:hideMark/>
          </w:tcPr>
          <w:p w14:paraId="3344B115"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19B691A7" w14:textId="77777777" w:rsidTr="006D3CDB">
        <w:trPr>
          <w:trHeight w:val="300"/>
        </w:trPr>
        <w:tc>
          <w:tcPr>
            <w:tcW w:w="9663" w:type="dxa"/>
            <w:gridSpan w:val="2"/>
            <w:noWrap/>
            <w:hideMark/>
          </w:tcPr>
          <w:p w14:paraId="12F69B75" w14:textId="6907D43A"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Pleural Fluid LDH</w:t>
            </w:r>
          </w:p>
        </w:tc>
      </w:tr>
      <w:tr w:rsidR="00A851D7" w:rsidRPr="00A851D7" w14:paraId="69BAEC8C" w14:textId="77777777" w:rsidTr="00A851D7">
        <w:trPr>
          <w:trHeight w:val="300"/>
        </w:trPr>
        <w:tc>
          <w:tcPr>
            <w:tcW w:w="1643" w:type="dxa"/>
            <w:noWrap/>
            <w:hideMark/>
          </w:tcPr>
          <w:p w14:paraId="0BFE655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Clinical Indications</w:t>
            </w:r>
          </w:p>
        </w:tc>
        <w:tc>
          <w:tcPr>
            <w:tcW w:w="8020" w:type="dxa"/>
            <w:noWrap/>
            <w:hideMark/>
          </w:tcPr>
          <w:p w14:paraId="3982CB3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Supportive evidence for differentiation of exudates and transudates</w:t>
            </w:r>
          </w:p>
        </w:tc>
      </w:tr>
      <w:tr w:rsidR="00A851D7" w:rsidRPr="00A851D7" w14:paraId="02305882" w14:textId="77777777" w:rsidTr="00696886">
        <w:trPr>
          <w:trHeight w:val="300"/>
        </w:trPr>
        <w:tc>
          <w:tcPr>
            <w:tcW w:w="9663" w:type="dxa"/>
            <w:gridSpan w:val="2"/>
            <w:noWrap/>
            <w:hideMark/>
          </w:tcPr>
          <w:p w14:paraId="1692360D"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2E38668D" w14:textId="77777777" w:rsidTr="00A851D7">
        <w:trPr>
          <w:trHeight w:val="300"/>
        </w:trPr>
        <w:tc>
          <w:tcPr>
            <w:tcW w:w="1643" w:type="dxa"/>
            <w:vMerge w:val="restart"/>
            <w:noWrap/>
            <w:hideMark/>
          </w:tcPr>
          <w:p w14:paraId="13C0272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 Interval and/or Interpretive Information</w:t>
            </w:r>
          </w:p>
        </w:tc>
        <w:tc>
          <w:tcPr>
            <w:tcW w:w="8020" w:type="dxa"/>
            <w:noWrap/>
            <w:hideMark/>
          </w:tcPr>
          <w:p w14:paraId="4DAAD84A"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Light’s criteria can be used to identify most pleural exudative effusions if one or more of the following criteria are present: pleural fluid-to-serum protein ratio of &gt;0.5, pleural fluid-to-serum LDH ratio of &gt;0.6, or a pleural fluid LDH activity that is &gt;2/3 the upper limit of a normal serum LDH activity. [1,2,3,4]</w:t>
            </w:r>
          </w:p>
        </w:tc>
      </w:tr>
      <w:tr w:rsidR="00A851D7" w:rsidRPr="00A851D7" w14:paraId="6BEDB955" w14:textId="77777777" w:rsidTr="00A851D7">
        <w:trPr>
          <w:trHeight w:val="300"/>
        </w:trPr>
        <w:tc>
          <w:tcPr>
            <w:tcW w:w="1643" w:type="dxa"/>
            <w:vMerge/>
            <w:noWrap/>
            <w:hideMark/>
          </w:tcPr>
          <w:p w14:paraId="44C2F6A1"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067C5C4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Heart failure associated misclassifications (by Light’s criteria) may be differentiated as </w:t>
            </w:r>
            <w:proofErr w:type="spellStart"/>
            <w:r w:rsidRPr="00A851D7">
              <w:rPr>
                <w:rFonts w:ascii="Calibri" w:eastAsia="Times New Roman" w:hAnsi="Calibri" w:cs="Calibri"/>
                <w:color w:val="000000"/>
                <w:kern w:val="0"/>
                <w:lang w:bidi="ta-IN"/>
                <w14:ligatures w14:val="none"/>
              </w:rPr>
              <w:t>trasudative</w:t>
            </w:r>
            <w:proofErr w:type="spellEnd"/>
            <w:r w:rsidRPr="00A851D7">
              <w:rPr>
                <w:rFonts w:ascii="Calibri" w:eastAsia="Times New Roman" w:hAnsi="Calibri" w:cs="Calibri"/>
                <w:color w:val="000000"/>
                <w:kern w:val="0"/>
                <w:lang w:bidi="ta-IN"/>
                <w14:ligatures w14:val="none"/>
              </w:rPr>
              <w:t xml:space="preserve"> effusions by subsequently evaluating a serum-to-pleural albumin gradient (&gt;1.2 g/dL) and/or a serum-to-fluid protein gradient (&gt;3.1 g/dL). [3,5]</w:t>
            </w:r>
          </w:p>
        </w:tc>
      </w:tr>
      <w:tr w:rsidR="00A851D7" w:rsidRPr="00A851D7" w14:paraId="67348D92" w14:textId="77777777" w:rsidTr="00CF7F03">
        <w:trPr>
          <w:trHeight w:val="300"/>
        </w:trPr>
        <w:tc>
          <w:tcPr>
            <w:tcW w:w="9663" w:type="dxa"/>
            <w:gridSpan w:val="2"/>
            <w:noWrap/>
            <w:hideMark/>
          </w:tcPr>
          <w:p w14:paraId="07A53024"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76E5D3F5" w14:textId="77777777" w:rsidTr="00A851D7">
        <w:trPr>
          <w:trHeight w:val="300"/>
        </w:trPr>
        <w:tc>
          <w:tcPr>
            <w:tcW w:w="1643" w:type="dxa"/>
            <w:vMerge w:val="restart"/>
            <w:noWrap/>
            <w:hideMark/>
          </w:tcPr>
          <w:p w14:paraId="66281897"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References</w:t>
            </w:r>
          </w:p>
        </w:tc>
        <w:tc>
          <w:tcPr>
            <w:tcW w:w="8020" w:type="dxa"/>
            <w:noWrap/>
            <w:hideMark/>
          </w:tcPr>
          <w:p w14:paraId="2B44510B"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[1] Light RW, MacGregor MI, Luchsinger PC, Ball WC. 1972. Pleural effusions: the diagnostic separation of transudates and exudates. Annals of Internal Medicine. 77:507-513.</w:t>
            </w:r>
          </w:p>
        </w:tc>
      </w:tr>
      <w:tr w:rsidR="00A851D7" w:rsidRPr="00A851D7" w14:paraId="3F21C834" w14:textId="77777777" w:rsidTr="00A851D7">
        <w:trPr>
          <w:trHeight w:val="300"/>
        </w:trPr>
        <w:tc>
          <w:tcPr>
            <w:tcW w:w="1643" w:type="dxa"/>
            <w:vMerge/>
            <w:noWrap/>
            <w:hideMark/>
          </w:tcPr>
          <w:p w14:paraId="6A014A5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4E8E2B5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[2] Hooper C, Lee YCG, Maskell N, on behalf of the BTS Pleural Guideline Group. 2010. Investigation of a unilateral pleural effusion in adults: British Thoracic Society pleural disease guideline 2010. Thorax. 65(Suppl 2</w:t>
            </w:r>
            <w:proofErr w:type="gramStart"/>
            <w:r w:rsidRPr="00A851D7">
              <w:rPr>
                <w:rFonts w:ascii="Calibri" w:eastAsia="Times New Roman" w:hAnsi="Calibri" w:cs="Calibri"/>
                <w:color w:val="000000"/>
                <w:kern w:val="0"/>
                <w:lang w:bidi="ta-IN"/>
                <w14:ligatures w14:val="none"/>
              </w:rPr>
              <w:t>):ii</w:t>
            </w:r>
            <w:proofErr w:type="gramEnd"/>
            <w:r w:rsidRPr="00A851D7">
              <w:rPr>
                <w:rFonts w:ascii="Calibri" w:eastAsia="Times New Roman" w:hAnsi="Calibri" w:cs="Calibri"/>
                <w:color w:val="000000"/>
                <w:kern w:val="0"/>
                <w:lang w:bidi="ta-IN"/>
                <w14:ligatures w14:val="none"/>
              </w:rPr>
              <w:t>4-ii17.</w:t>
            </w:r>
          </w:p>
        </w:tc>
      </w:tr>
      <w:tr w:rsidR="00A851D7" w:rsidRPr="00A851D7" w14:paraId="1A3B849B" w14:textId="77777777" w:rsidTr="00A851D7">
        <w:trPr>
          <w:trHeight w:val="300"/>
        </w:trPr>
        <w:tc>
          <w:tcPr>
            <w:tcW w:w="1643" w:type="dxa"/>
            <w:vMerge/>
            <w:noWrap/>
            <w:hideMark/>
          </w:tcPr>
          <w:p w14:paraId="0E0A48B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3B933A97"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[3] Porcel JM, Light RW. 2006. Diagnostic approach to pleural fluids in adults. American Family Physician. 73(7):1211-1220.</w:t>
            </w:r>
          </w:p>
        </w:tc>
      </w:tr>
      <w:tr w:rsidR="00A851D7" w:rsidRPr="00A851D7" w14:paraId="49C63541" w14:textId="77777777" w:rsidTr="00A851D7">
        <w:trPr>
          <w:trHeight w:val="300"/>
        </w:trPr>
        <w:tc>
          <w:tcPr>
            <w:tcW w:w="1643" w:type="dxa"/>
            <w:vMerge/>
            <w:noWrap/>
            <w:hideMark/>
          </w:tcPr>
          <w:p w14:paraId="785AE84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528EC27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[4]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A851D7" w:rsidRPr="00A851D7" w14:paraId="24F9A527" w14:textId="77777777" w:rsidTr="00A851D7">
        <w:trPr>
          <w:trHeight w:val="300"/>
        </w:trPr>
        <w:tc>
          <w:tcPr>
            <w:tcW w:w="1643" w:type="dxa"/>
            <w:vMerge/>
            <w:noWrap/>
            <w:hideMark/>
          </w:tcPr>
          <w:p w14:paraId="53F5CE09"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17EE1DCB"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[5] Porcel JM. 2013. Identifying transudates misclassified by Light’s criteria. Curr </w:t>
            </w:r>
            <w:proofErr w:type="spellStart"/>
            <w:r w:rsidRPr="00A851D7">
              <w:rPr>
                <w:rFonts w:ascii="Calibri" w:eastAsia="Times New Roman" w:hAnsi="Calibri" w:cs="Calibri"/>
                <w:color w:val="000000"/>
                <w:kern w:val="0"/>
                <w:lang w:bidi="ta-IN"/>
                <w14:ligatures w14:val="none"/>
              </w:rPr>
              <w:t>Opin</w:t>
            </w:r>
            <w:proofErr w:type="spellEnd"/>
            <w:r w:rsidRPr="00A851D7">
              <w:rPr>
                <w:rFonts w:ascii="Calibri" w:eastAsia="Times New Roman" w:hAnsi="Calibri" w:cs="Calibri"/>
                <w:color w:val="000000"/>
                <w:kern w:val="0"/>
                <w:lang w:bidi="ta-IN"/>
                <w14:ligatures w14:val="none"/>
              </w:rPr>
              <w:t xml:space="preserve"> </w:t>
            </w:r>
            <w:proofErr w:type="spellStart"/>
            <w:r w:rsidRPr="00A851D7">
              <w:rPr>
                <w:rFonts w:ascii="Calibri" w:eastAsia="Times New Roman" w:hAnsi="Calibri" w:cs="Calibri"/>
                <w:color w:val="000000"/>
                <w:kern w:val="0"/>
                <w:lang w:bidi="ta-IN"/>
                <w14:ligatures w14:val="none"/>
              </w:rPr>
              <w:t>Pulm</w:t>
            </w:r>
            <w:proofErr w:type="spellEnd"/>
            <w:r w:rsidRPr="00A851D7">
              <w:rPr>
                <w:rFonts w:ascii="Calibri" w:eastAsia="Times New Roman" w:hAnsi="Calibri" w:cs="Calibri"/>
                <w:color w:val="000000"/>
                <w:kern w:val="0"/>
                <w:lang w:bidi="ta-IN"/>
                <w14:ligatures w14:val="none"/>
              </w:rPr>
              <w:t xml:space="preserve"> Med. 19:362-367.</w:t>
            </w:r>
          </w:p>
        </w:tc>
      </w:tr>
      <w:tr w:rsidR="00A851D7" w:rsidRPr="00A851D7" w14:paraId="663C3466" w14:textId="77777777" w:rsidTr="00971550">
        <w:trPr>
          <w:trHeight w:val="300"/>
        </w:trPr>
        <w:tc>
          <w:tcPr>
            <w:tcW w:w="9663" w:type="dxa"/>
            <w:gridSpan w:val="2"/>
            <w:noWrap/>
            <w:hideMark/>
          </w:tcPr>
          <w:p w14:paraId="254BC11D"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3C2CFF7B" w14:textId="77777777" w:rsidTr="00107F74">
        <w:trPr>
          <w:trHeight w:val="300"/>
        </w:trPr>
        <w:tc>
          <w:tcPr>
            <w:tcW w:w="9663" w:type="dxa"/>
            <w:gridSpan w:val="2"/>
            <w:noWrap/>
            <w:hideMark/>
          </w:tcPr>
          <w:p w14:paraId="2763D69D" w14:textId="5647A709" w:rsidR="00A851D7" w:rsidRPr="00A851D7" w:rsidRDefault="00A851D7" w:rsidP="00A851D7">
            <w:pPr>
              <w:spacing w:after="0" w:line="240" w:lineRule="auto"/>
              <w:rPr>
                <w:rFonts w:ascii="Calibri" w:eastAsia="Times New Roman" w:hAnsi="Calibri" w:cs="Calibri"/>
                <w:b/>
                <w:bCs/>
                <w:color w:val="000000"/>
                <w:kern w:val="0"/>
                <w:lang w:bidi="ta-IN"/>
                <w14:ligatures w14:val="none"/>
              </w:rPr>
            </w:pPr>
            <w:r w:rsidRPr="00A851D7">
              <w:rPr>
                <w:rFonts w:ascii="Calibri" w:eastAsia="Times New Roman" w:hAnsi="Calibri" w:cs="Calibri"/>
                <w:b/>
                <w:bCs/>
                <w:color w:val="000000"/>
                <w:kern w:val="0"/>
                <w:lang w:bidi="ta-IN"/>
                <w14:ligatures w14:val="none"/>
              </w:rPr>
              <w:t>Synovial Fluid LDH</w:t>
            </w:r>
          </w:p>
        </w:tc>
      </w:tr>
      <w:tr w:rsidR="00A851D7" w:rsidRPr="00A851D7" w14:paraId="4FE69104" w14:textId="77777777" w:rsidTr="00A851D7">
        <w:trPr>
          <w:trHeight w:val="300"/>
        </w:trPr>
        <w:tc>
          <w:tcPr>
            <w:tcW w:w="1643" w:type="dxa"/>
            <w:noWrap/>
            <w:hideMark/>
          </w:tcPr>
          <w:p w14:paraId="2551DF3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Clinical Indications</w:t>
            </w:r>
          </w:p>
        </w:tc>
        <w:tc>
          <w:tcPr>
            <w:tcW w:w="8020" w:type="dxa"/>
            <w:noWrap/>
            <w:hideMark/>
          </w:tcPr>
          <w:p w14:paraId="50EDDA8F"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Synovial fluid evaluation</w:t>
            </w:r>
          </w:p>
        </w:tc>
      </w:tr>
      <w:tr w:rsidR="00A851D7" w:rsidRPr="00A851D7" w14:paraId="4CBA8B67" w14:textId="77777777" w:rsidTr="00CF0BBC">
        <w:trPr>
          <w:trHeight w:val="300"/>
        </w:trPr>
        <w:tc>
          <w:tcPr>
            <w:tcW w:w="9663" w:type="dxa"/>
            <w:gridSpan w:val="2"/>
            <w:noWrap/>
            <w:hideMark/>
          </w:tcPr>
          <w:p w14:paraId="12AE8896"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055BBCDC" w14:textId="77777777" w:rsidTr="00A851D7">
        <w:trPr>
          <w:trHeight w:val="300"/>
        </w:trPr>
        <w:tc>
          <w:tcPr>
            <w:tcW w:w="1643" w:type="dxa"/>
            <w:noWrap/>
            <w:hideMark/>
          </w:tcPr>
          <w:p w14:paraId="2B82CF01"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 Interval and/or Interpretive Information</w:t>
            </w:r>
          </w:p>
        </w:tc>
        <w:tc>
          <w:tcPr>
            <w:tcW w:w="8020" w:type="dxa"/>
            <w:noWrap/>
            <w:hideMark/>
          </w:tcPr>
          <w:p w14:paraId="544C1202"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Elevations in synovial fluid LDH activity (typically &gt;250 U/L) have been associated with both noninfectious (inflammatory arthritis, crystal arthritis) and infectious (septic) arthritis. [1,2,3,4,5]</w:t>
            </w:r>
          </w:p>
        </w:tc>
      </w:tr>
      <w:tr w:rsidR="00A851D7" w:rsidRPr="00A851D7" w14:paraId="034F57B1" w14:textId="77777777" w:rsidTr="00A851D7">
        <w:trPr>
          <w:trHeight w:val="300"/>
        </w:trPr>
        <w:tc>
          <w:tcPr>
            <w:tcW w:w="1643" w:type="dxa"/>
            <w:noWrap/>
            <w:hideMark/>
          </w:tcPr>
          <w:p w14:paraId="2B68E72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727811CA"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51DD46BD" w14:textId="77777777" w:rsidTr="00A851D7">
        <w:trPr>
          <w:trHeight w:val="300"/>
        </w:trPr>
        <w:tc>
          <w:tcPr>
            <w:tcW w:w="1643" w:type="dxa"/>
            <w:vMerge w:val="restart"/>
            <w:noWrap/>
            <w:hideMark/>
          </w:tcPr>
          <w:p w14:paraId="15E3C49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References</w:t>
            </w:r>
          </w:p>
        </w:tc>
        <w:tc>
          <w:tcPr>
            <w:tcW w:w="8020" w:type="dxa"/>
            <w:noWrap/>
            <w:hideMark/>
          </w:tcPr>
          <w:p w14:paraId="5DF9C3E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[1] </w:t>
            </w:r>
            <w:proofErr w:type="spellStart"/>
            <w:r w:rsidRPr="00A851D7">
              <w:rPr>
                <w:rFonts w:ascii="Calibri" w:eastAsia="Times New Roman" w:hAnsi="Calibri" w:cs="Calibri"/>
                <w:color w:val="000000"/>
                <w:kern w:val="0"/>
                <w:lang w:bidi="ta-IN"/>
                <w14:ligatures w14:val="none"/>
              </w:rPr>
              <w:t>Pejovic</w:t>
            </w:r>
            <w:proofErr w:type="spellEnd"/>
            <w:r w:rsidRPr="00A851D7">
              <w:rPr>
                <w:rFonts w:ascii="Calibri" w:eastAsia="Times New Roman" w:hAnsi="Calibri" w:cs="Calibri"/>
                <w:color w:val="000000"/>
                <w:kern w:val="0"/>
                <w:lang w:bidi="ta-IN"/>
                <w14:ligatures w14:val="none"/>
              </w:rPr>
              <w:t xml:space="preserve"> M, Stankovic A, Mitrovic DR. 1992. Lactate dehydrogenase activity and its isoenzymes in serum and synovial fluid of patients with rheumatoid arthritis and osteoarthritis. J </w:t>
            </w:r>
            <w:proofErr w:type="spellStart"/>
            <w:r w:rsidRPr="00A851D7">
              <w:rPr>
                <w:rFonts w:ascii="Calibri" w:eastAsia="Times New Roman" w:hAnsi="Calibri" w:cs="Calibri"/>
                <w:color w:val="000000"/>
                <w:kern w:val="0"/>
                <w:lang w:bidi="ta-IN"/>
                <w14:ligatures w14:val="none"/>
              </w:rPr>
              <w:t>Rheumatol</w:t>
            </w:r>
            <w:proofErr w:type="spellEnd"/>
            <w:r w:rsidRPr="00A851D7">
              <w:rPr>
                <w:rFonts w:ascii="Calibri" w:eastAsia="Times New Roman" w:hAnsi="Calibri" w:cs="Calibri"/>
                <w:color w:val="000000"/>
                <w:kern w:val="0"/>
                <w:lang w:bidi="ta-IN"/>
                <w14:ligatures w14:val="none"/>
              </w:rPr>
              <w:t>. 19(4):529-533</w:t>
            </w:r>
          </w:p>
        </w:tc>
      </w:tr>
      <w:tr w:rsidR="00A851D7" w:rsidRPr="00A851D7" w14:paraId="7607CFB1" w14:textId="77777777" w:rsidTr="00A851D7">
        <w:trPr>
          <w:trHeight w:val="300"/>
        </w:trPr>
        <w:tc>
          <w:tcPr>
            <w:tcW w:w="1643" w:type="dxa"/>
            <w:vMerge/>
            <w:noWrap/>
            <w:hideMark/>
          </w:tcPr>
          <w:p w14:paraId="30EFA7F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750C5AE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[2] </w:t>
            </w:r>
            <w:proofErr w:type="spellStart"/>
            <w:r w:rsidRPr="00A851D7">
              <w:rPr>
                <w:rFonts w:ascii="Calibri" w:eastAsia="Times New Roman" w:hAnsi="Calibri" w:cs="Calibri"/>
                <w:color w:val="000000"/>
                <w:kern w:val="0"/>
                <w:lang w:bidi="ta-IN"/>
                <w14:ligatures w14:val="none"/>
              </w:rPr>
              <w:t>Margaretten</w:t>
            </w:r>
            <w:proofErr w:type="spellEnd"/>
            <w:r w:rsidRPr="00A851D7">
              <w:rPr>
                <w:rFonts w:ascii="Calibri" w:eastAsia="Times New Roman" w:hAnsi="Calibri" w:cs="Calibri"/>
                <w:color w:val="000000"/>
                <w:kern w:val="0"/>
                <w:lang w:bidi="ta-IN"/>
                <w14:ligatures w14:val="none"/>
              </w:rPr>
              <w:t xml:space="preserve"> ME, Kohlwes J, Moore D, Bent S. 2007. Does this adult patient have septic arthritis? JAMA. 297(13):1478-1488. </w:t>
            </w:r>
          </w:p>
        </w:tc>
      </w:tr>
      <w:tr w:rsidR="00A851D7" w:rsidRPr="00A851D7" w14:paraId="79D4526C" w14:textId="77777777" w:rsidTr="00A851D7">
        <w:trPr>
          <w:trHeight w:val="300"/>
        </w:trPr>
        <w:tc>
          <w:tcPr>
            <w:tcW w:w="1643" w:type="dxa"/>
            <w:vMerge/>
            <w:noWrap/>
            <w:hideMark/>
          </w:tcPr>
          <w:p w14:paraId="24B7A4AD"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34353F90"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[3]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A851D7" w:rsidRPr="00A851D7" w14:paraId="05F27CAF" w14:textId="77777777" w:rsidTr="00A851D7">
        <w:trPr>
          <w:trHeight w:val="300"/>
        </w:trPr>
        <w:tc>
          <w:tcPr>
            <w:tcW w:w="1643" w:type="dxa"/>
            <w:vMerge/>
            <w:noWrap/>
            <w:hideMark/>
          </w:tcPr>
          <w:p w14:paraId="616AF4A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5F3817B6"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[4] Couturier MR, </w:t>
            </w:r>
            <w:proofErr w:type="spellStart"/>
            <w:r w:rsidRPr="00A851D7">
              <w:rPr>
                <w:rFonts w:ascii="Calibri" w:eastAsia="Times New Roman" w:hAnsi="Calibri" w:cs="Calibri"/>
                <w:color w:val="000000"/>
                <w:kern w:val="0"/>
                <w:lang w:bidi="ta-IN"/>
                <w14:ligatures w14:val="none"/>
              </w:rPr>
              <w:t>Straseski</w:t>
            </w:r>
            <w:proofErr w:type="spellEnd"/>
            <w:r w:rsidRPr="00A851D7">
              <w:rPr>
                <w:rFonts w:ascii="Calibri" w:eastAsia="Times New Roman" w:hAnsi="Calibri" w:cs="Calibri"/>
                <w:color w:val="000000"/>
                <w:kern w:val="0"/>
                <w:lang w:bidi="ta-IN"/>
                <w14:ligatures w14:val="none"/>
              </w:rPr>
              <w:t xml:space="preserve"> JA, Kjeldsberg CR. Chapter 7: Synovial fluid. In Kjeldsberg’s Body Fluid Analysis. Hussong JW and Kjeldsberg CR, Eds. ASCP Press: Chicago, IL, 2015. ISBN: 978-089189-5824.</w:t>
            </w:r>
          </w:p>
        </w:tc>
      </w:tr>
      <w:tr w:rsidR="00A851D7" w:rsidRPr="00A851D7" w14:paraId="03C33F0E" w14:textId="77777777" w:rsidTr="00A851D7">
        <w:trPr>
          <w:trHeight w:val="300"/>
        </w:trPr>
        <w:tc>
          <w:tcPr>
            <w:tcW w:w="1643" w:type="dxa"/>
            <w:vMerge/>
            <w:noWrap/>
            <w:hideMark/>
          </w:tcPr>
          <w:p w14:paraId="42A5F7B4"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p>
        </w:tc>
        <w:tc>
          <w:tcPr>
            <w:tcW w:w="8020" w:type="dxa"/>
            <w:noWrap/>
            <w:hideMark/>
          </w:tcPr>
          <w:p w14:paraId="741C7BB8" w14:textId="77777777" w:rsidR="00A851D7" w:rsidRPr="00A851D7" w:rsidRDefault="00A851D7" w:rsidP="00A851D7">
            <w:pPr>
              <w:spacing w:after="0" w:line="240" w:lineRule="auto"/>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 xml:space="preserve">[5] </w:t>
            </w:r>
            <w:proofErr w:type="spellStart"/>
            <w:r w:rsidRPr="00A851D7">
              <w:rPr>
                <w:rFonts w:ascii="Calibri" w:eastAsia="Times New Roman" w:hAnsi="Calibri" w:cs="Calibri"/>
                <w:color w:val="000000"/>
                <w:kern w:val="0"/>
                <w:lang w:bidi="ta-IN"/>
                <w14:ligatures w14:val="none"/>
              </w:rPr>
              <w:t>Shmerling</w:t>
            </w:r>
            <w:proofErr w:type="spellEnd"/>
            <w:r w:rsidRPr="00A851D7">
              <w:rPr>
                <w:rFonts w:ascii="Calibri" w:eastAsia="Times New Roman" w:hAnsi="Calibri" w:cs="Calibri"/>
                <w:color w:val="000000"/>
                <w:kern w:val="0"/>
                <w:lang w:bidi="ta-IN"/>
                <w14:ligatures w14:val="none"/>
              </w:rPr>
              <w:t xml:space="preserve"> RH, Delbanco TL, </w:t>
            </w:r>
            <w:proofErr w:type="spellStart"/>
            <w:r w:rsidRPr="00A851D7">
              <w:rPr>
                <w:rFonts w:ascii="Calibri" w:eastAsia="Times New Roman" w:hAnsi="Calibri" w:cs="Calibri"/>
                <w:color w:val="000000"/>
                <w:kern w:val="0"/>
                <w:lang w:bidi="ta-IN"/>
                <w14:ligatures w14:val="none"/>
              </w:rPr>
              <w:t>Tosteson</w:t>
            </w:r>
            <w:proofErr w:type="spellEnd"/>
            <w:r w:rsidRPr="00A851D7">
              <w:rPr>
                <w:rFonts w:ascii="Calibri" w:eastAsia="Times New Roman" w:hAnsi="Calibri" w:cs="Calibri"/>
                <w:color w:val="000000"/>
                <w:kern w:val="0"/>
                <w:lang w:bidi="ta-IN"/>
                <w14:ligatures w14:val="none"/>
              </w:rPr>
              <w:t xml:space="preserve"> ANA, Trentham DE. 1990. Synovial fluid tests: what should be ordered? JAMA. 264(8):1009-1014. </w:t>
            </w:r>
          </w:p>
        </w:tc>
      </w:tr>
      <w:tr w:rsidR="00A851D7" w:rsidRPr="00A851D7" w14:paraId="5ED4C7C3" w14:textId="77777777" w:rsidTr="00A851D7">
        <w:trPr>
          <w:trHeight w:val="305"/>
        </w:trPr>
        <w:tc>
          <w:tcPr>
            <w:tcW w:w="9663" w:type="dxa"/>
            <w:gridSpan w:val="2"/>
            <w:noWrap/>
            <w:hideMark/>
          </w:tcPr>
          <w:p w14:paraId="39DC988A" w14:textId="77777777" w:rsidR="00A851D7" w:rsidRPr="00A851D7" w:rsidRDefault="00A851D7" w:rsidP="00A851D7">
            <w:pPr>
              <w:spacing w:after="0" w:line="240" w:lineRule="auto"/>
              <w:rPr>
                <w:rFonts w:ascii="Times New Roman" w:eastAsia="Times New Roman" w:hAnsi="Times New Roman" w:cs="Times New Roman"/>
                <w:kern w:val="0"/>
                <w:sz w:val="20"/>
                <w:szCs w:val="20"/>
                <w:lang w:bidi="ta-IN"/>
                <w14:ligatures w14:val="none"/>
              </w:rPr>
            </w:pPr>
          </w:p>
        </w:tc>
      </w:tr>
      <w:tr w:rsidR="00A851D7" w:rsidRPr="00A851D7" w14:paraId="5E200A13" w14:textId="77777777" w:rsidTr="00A851D7">
        <w:trPr>
          <w:trHeight w:val="300"/>
        </w:trPr>
        <w:tc>
          <w:tcPr>
            <w:tcW w:w="9663" w:type="dxa"/>
            <w:gridSpan w:val="2"/>
            <w:noWrap/>
            <w:hideMark/>
          </w:tcPr>
          <w:p w14:paraId="248003D7" w14:textId="77777777" w:rsidR="00A851D7" w:rsidRPr="00A851D7" w:rsidRDefault="00A851D7" w:rsidP="00A851D7">
            <w:pPr>
              <w:spacing w:after="0" w:line="240" w:lineRule="auto"/>
              <w:jc w:val="center"/>
              <w:rPr>
                <w:rFonts w:ascii="Calibri" w:eastAsia="Times New Roman" w:hAnsi="Calibri" w:cs="Calibri"/>
                <w:color w:val="000000"/>
                <w:kern w:val="0"/>
                <w:lang w:bidi="ta-IN"/>
                <w14:ligatures w14:val="none"/>
              </w:rPr>
            </w:pPr>
            <w:r w:rsidRPr="00A851D7">
              <w:rPr>
                <w:rFonts w:ascii="Calibri" w:eastAsia="Times New Roman" w:hAnsi="Calibri" w:cs="Calibri"/>
                <w:color w:val="000000"/>
                <w:kern w:val="0"/>
                <w:lang w:bidi="ta-IN"/>
                <w14:ligatures w14:val="none"/>
              </w:rPr>
              <w:t>https://www.aruplab.com/bodyfluids</w:t>
            </w:r>
          </w:p>
        </w:tc>
      </w:tr>
    </w:tbl>
    <w:p w14:paraId="4D8E6C49" w14:textId="77777777" w:rsidR="00FD0F62" w:rsidRDefault="00FD0F62"/>
    <w:sectPr w:rsidR="00FD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D7"/>
    <w:rsid w:val="00A851D7"/>
    <w:rsid w:val="00FD0F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01A3"/>
  <w15:chartTrackingRefBased/>
  <w15:docId w15:val="{23981502-4886-437A-B74F-CCF83276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6440</Characters>
  <Application>Microsoft Office Word</Application>
  <DocSecurity>0</DocSecurity>
  <Lines>53</Lines>
  <Paragraphs>15</Paragraphs>
  <ScaleCrop>false</ScaleCrop>
  <Company>Summa Health System</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1</cp:revision>
  <dcterms:created xsi:type="dcterms:W3CDTF">2024-03-14T17:39:00Z</dcterms:created>
  <dcterms:modified xsi:type="dcterms:W3CDTF">2024-03-14T17:42:00Z</dcterms:modified>
</cp:coreProperties>
</file>