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Look w:val="04A0" w:firstRow="1" w:lastRow="0" w:firstColumn="1" w:lastColumn="0" w:noHBand="0" w:noVBand="1"/>
      </w:tblPr>
      <w:tblGrid>
        <w:gridCol w:w="1393"/>
        <w:gridCol w:w="7967"/>
      </w:tblGrid>
      <w:tr w:rsidR="00EC5238" w:rsidRPr="00EC5238" w14:paraId="68AC0958" w14:textId="77777777" w:rsidTr="00A4109F">
        <w:trPr>
          <w:trHeight w:val="300"/>
        </w:trPr>
        <w:tc>
          <w:tcPr>
            <w:tcW w:w="9360" w:type="dxa"/>
            <w:gridSpan w:val="2"/>
            <w:noWrap/>
            <w:hideMark/>
          </w:tcPr>
          <w:p w14:paraId="6B424709" w14:textId="590F764F" w:rsidR="00EC5238" w:rsidRPr="00EC5238" w:rsidRDefault="00EC5238" w:rsidP="00EC5238">
            <w:pPr>
              <w:spacing w:after="0" w:line="240" w:lineRule="auto"/>
              <w:jc w:val="center"/>
              <w:rPr>
                <w:rFonts w:ascii="Calibri" w:eastAsia="Times New Roman" w:hAnsi="Calibri" w:cs="Calibri"/>
                <w:b/>
                <w:bCs/>
                <w:color w:val="000000"/>
                <w:kern w:val="0"/>
                <w:lang w:bidi="ta-IN"/>
                <w14:ligatures w14:val="none"/>
              </w:rPr>
            </w:pPr>
            <w:r w:rsidRPr="00EC5238">
              <w:rPr>
                <w:rFonts w:ascii="Calibri" w:eastAsia="Times New Roman" w:hAnsi="Calibri" w:cs="Calibri"/>
                <w:b/>
                <w:bCs/>
                <w:color w:val="000000"/>
                <w:kern w:val="0"/>
                <w:lang w:bidi="ta-IN"/>
                <w14:ligatures w14:val="none"/>
              </w:rPr>
              <w:t>Lipase, Body Fluid</w:t>
            </w:r>
          </w:p>
        </w:tc>
      </w:tr>
      <w:tr w:rsidR="00EC5238" w:rsidRPr="00EC5238" w14:paraId="5E207A73" w14:textId="77777777" w:rsidTr="00380760">
        <w:trPr>
          <w:trHeight w:val="300"/>
        </w:trPr>
        <w:tc>
          <w:tcPr>
            <w:tcW w:w="9360" w:type="dxa"/>
            <w:gridSpan w:val="2"/>
            <w:noWrap/>
            <w:hideMark/>
          </w:tcPr>
          <w:p w14:paraId="3FA2A854"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5E30730E" w14:textId="77777777" w:rsidTr="005820AA">
        <w:trPr>
          <w:trHeight w:val="300"/>
        </w:trPr>
        <w:tc>
          <w:tcPr>
            <w:tcW w:w="9360" w:type="dxa"/>
            <w:gridSpan w:val="2"/>
            <w:noWrap/>
            <w:hideMark/>
          </w:tcPr>
          <w:p w14:paraId="58C6D043" w14:textId="50073336" w:rsidR="00EC5238" w:rsidRPr="00EC5238" w:rsidRDefault="00EC5238" w:rsidP="00EC5238">
            <w:pPr>
              <w:spacing w:after="0" w:line="240" w:lineRule="auto"/>
              <w:rPr>
                <w:rFonts w:ascii="Calibri" w:eastAsia="Times New Roman" w:hAnsi="Calibri" w:cs="Calibri"/>
                <w:b/>
                <w:bCs/>
                <w:color w:val="000000"/>
                <w:kern w:val="0"/>
                <w:lang w:bidi="ta-IN"/>
                <w14:ligatures w14:val="none"/>
              </w:rPr>
            </w:pPr>
            <w:r w:rsidRPr="00EC5238">
              <w:rPr>
                <w:rFonts w:ascii="Calibri" w:eastAsia="Times New Roman" w:hAnsi="Calibri" w:cs="Calibri"/>
                <w:b/>
                <w:bCs/>
                <w:color w:val="000000"/>
                <w:kern w:val="0"/>
                <w:lang w:bidi="ta-IN"/>
                <w14:ligatures w14:val="none"/>
              </w:rPr>
              <w:t>Biliary/​Hepatic Lipase</w:t>
            </w:r>
          </w:p>
        </w:tc>
      </w:tr>
      <w:tr w:rsidR="00EC5238" w:rsidRPr="00EC5238" w14:paraId="4054BD75" w14:textId="77777777" w:rsidTr="00EC5238">
        <w:trPr>
          <w:trHeight w:val="300"/>
        </w:trPr>
        <w:tc>
          <w:tcPr>
            <w:tcW w:w="1393" w:type="dxa"/>
            <w:noWrap/>
            <w:hideMark/>
          </w:tcPr>
          <w:p w14:paraId="03BABC54"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Clinical Indications</w:t>
            </w:r>
          </w:p>
        </w:tc>
        <w:tc>
          <w:tcPr>
            <w:tcW w:w="7967" w:type="dxa"/>
            <w:noWrap/>
            <w:hideMark/>
          </w:tcPr>
          <w:p w14:paraId="2DD786A2"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Not well-defined</w:t>
            </w:r>
          </w:p>
        </w:tc>
      </w:tr>
      <w:tr w:rsidR="00EC5238" w:rsidRPr="00EC5238" w14:paraId="0AA27E6D" w14:textId="77777777" w:rsidTr="00F30B63">
        <w:trPr>
          <w:trHeight w:val="300"/>
        </w:trPr>
        <w:tc>
          <w:tcPr>
            <w:tcW w:w="9360" w:type="dxa"/>
            <w:gridSpan w:val="2"/>
            <w:noWrap/>
            <w:hideMark/>
          </w:tcPr>
          <w:p w14:paraId="0CCF5FFF"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355B6402" w14:textId="77777777" w:rsidTr="00EC5238">
        <w:trPr>
          <w:trHeight w:val="300"/>
        </w:trPr>
        <w:tc>
          <w:tcPr>
            <w:tcW w:w="1393" w:type="dxa"/>
            <w:noWrap/>
            <w:hideMark/>
          </w:tcPr>
          <w:p w14:paraId="16D8C556"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 Interval and/or Interpretive Information</w:t>
            </w:r>
          </w:p>
        </w:tc>
        <w:tc>
          <w:tcPr>
            <w:tcW w:w="7967" w:type="dxa"/>
            <w:noWrap/>
            <w:hideMark/>
          </w:tcPr>
          <w:p w14:paraId="15172E64"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May provide supportive evidence for pancreatic origin of fluid collection when considered along with a corresponding serum specimen.</w:t>
            </w:r>
          </w:p>
        </w:tc>
      </w:tr>
      <w:tr w:rsidR="00EC5238" w:rsidRPr="00EC5238" w14:paraId="0A21A3C3" w14:textId="77777777" w:rsidTr="00FB5A02">
        <w:trPr>
          <w:trHeight w:val="300"/>
        </w:trPr>
        <w:tc>
          <w:tcPr>
            <w:tcW w:w="9360" w:type="dxa"/>
            <w:gridSpan w:val="2"/>
            <w:noWrap/>
            <w:hideMark/>
          </w:tcPr>
          <w:p w14:paraId="58D8A43D"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268B55A8" w14:textId="77777777" w:rsidTr="00300859">
        <w:trPr>
          <w:trHeight w:val="300"/>
        </w:trPr>
        <w:tc>
          <w:tcPr>
            <w:tcW w:w="9360" w:type="dxa"/>
            <w:gridSpan w:val="2"/>
            <w:noWrap/>
            <w:hideMark/>
          </w:tcPr>
          <w:p w14:paraId="182A36F7" w14:textId="6E1D5757" w:rsidR="00EC5238" w:rsidRPr="00EC5238" w:rsidRDefault="00EC5238" w:rsidP="00EC5238">
            <w:pPr>
              <w:spacing w:after="0" w:line="240" w:lineRule="auto"/>
              <w:rPr>
                <w:rFonts w:ascii="Calibri" w:eastAsia="Times New Roman" w:hAnsi="Calibri" w:cs="Calibri"/>
                <w:b/>
                <w:bCs/>
                <w:color w:val="000000"/>
                <w:kern w:val="0"/>
                <w:lang w:bidi="ta-IN"/>
                <w14:ligatures w14:val="none"/>
              </w:rPr>
            </w:pPr>
            <w:r w:rsidRPr="00EC5238">
              <w:rPr>
                <w:rFonts w:ascii="Calibri" w:eastAsia="Times New Roman" w:hAnsi="Calibri" w:cs="Calibri"/>
                <w:b/>
                <w:bCs/>
                <w:color w:val="000000"/>
                <w:kern w:val="0"/>
                <w:lang w:bidi="ta-IN"/>
                <w14:ligatures w14:val="none"/>
              </w:rPr>
              <w:t>Lipase, Drain Fluid</w:t>
            </w:r>
          </w:p>
        </w:tc>
      </w:tr>
      <w:tr w:rsidR="00EC5238" w:rsidRPr="00EC5238" w14:paraId="3BF02EDA" w14:textId="77777777" w:rsidTr="00EC5238">
        <w:trPr>
          <w:trHeight w:val="300"/>
        </w:trPr>
        <w:tc>
          <w:tcPr>
            <w:tcW w:w="1393" w:type="dxa"/>
            <w:vMerge w:val="restart"/>
            <w:noWrap/>
            <w:hideMark/>
          </w:tcPr>
          <w:p w14:paraId="4A61E326"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Clinical Indications</w:t>
            </w:r>
          </w:p>
        </w:tc>
        <w:tc>
          <w:tcPr>
            <w:tcW w:w="7967" w:type="dxa"/>
            <w:noWrap/>
            <w:hideMark/>
          </w:tcPr>
          <w:p w14:paraId="28540FD5"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See Clinical Indications for individual source fluid types below</w:t>
            </w:r>
          </w:p>
        </w:tc>
      </w:tr>
      <w:tr w:rsidR="00EC5238" w:rsidRPr="00EC5238" w14:paraId="07AEEB5A" w14:textId="77777777" w:rsidTr="00EC5238">
        <w:trPr>
          <w:trHeight w:val="300"/>
        </w:trPr>
        <w:tc>
          <w:tcPr>
            <w:tcW w:w="1393" w:type="dxa"/>
            <w:vMerge/>
            <w:noWrap/>
            <w:hideMark/>
          </w:tcPr>
          <w:p w14:paraId="08423E2F"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70585482"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Supportive evidence for pancreatic source of fluid accumulation</w:t>
            </w:r>
          </w:p>
        </w:tc>
      </w:tr>
      <w:tr w:rsidR="00EC5238" w:rsidRPr="00EC5238" w14:paraId="5E329C4C" w14:textId="77777777" w:rsidTr="0064190F">
        <w:trPr>
          <w:trHeight w:val="300"/>
        </w:trPr>
        <w:tc>
          <w:tcPr>
            <w:tcW w:w="9360" w:type="dxa"/>
            <w:gridSpan w:val="2"/>
            <w:noWrap/>
            <w:hideMark/>
          </w:tcPr>
          <w:p w14:paraId="582D556A"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6646737F" w14:textId="77777777" w:rsidTr="00EC5238">
        <w:trPr>
          <w:trHeight w:val="300"/>
        </w:trPr>
        <w:tc>
          <w:tcPr>
            <w:tcW w:w="1393" w:type="dxa"/>
            <w:vMerge w:val="restart"/>
            <w:noWrap/>
            <w:hideMark/>
          </w:tcPr>
          <w:p w14:paraId="56A2F2D0"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 Interval and/or Interpretive Information</w:t>
            </w:r>
          </w:p>
        </w:tc>
        <w:tc>
          <w:tcPr>
            <w:tcW w:w="7967" w:type="dxa"/>
            <w:noWrap/>
            <w:hideMark/>
          </w:tcPr>
          <w:p w14:paraId="444A0249"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Drain fluid lipase may provide supportive information as to pancreatic fluid source type if amylase levels are inconclusive, when considered along with a corresponding serum specimen.</w:t>
            </w:r>
          </w:p>
        </w:tc>
      </w:tr>
      <w:tr w:rsidR="00EC5238" w:rsidRPr="00EC5238" w14:paraId="6EB733C6" w14:textId="77777777" w:rsidTr="00EC5238">
        <w:trPr>
          <w:trHeight w:val="300"/>
        </w:trPr>
        <w:tc>
          <w:tcPr>
            <w:tcW w:w="1393" w:type="dxa"/>
            <w:vMerge/>
            <w:noWrap/>
            <w:hideMark/>
          </w:tcPr>
          <w:p w14:paraId="37C9CC31"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53AB53B5"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Drain fluid amylase (as opposed to lipase) has been more extensively studied and included in recommendations for the evaluation of pancreatic fistula. [1]</w:t>
            </w:r>
          </w:p>
        </w:tc>
      </w:tr>
      <w:tr w:rsidR="00EC5238" w:rsidRPr="00EC5238" w14:paraId="5AD59238" w14:textId="77777777" w:rsidTr="00EC5238">
        <w:trPr>
          <w:trHeight w:val="300"/>
        </w:trPr>
        <w:tc>
          <w:tcPr>
            <w:tcW w:w="1393" w:type="dxa"/>
            <w:vMerge/>
            <w:noWrap/>
            <w:hideMark/>
          </w:tcPr>
          <w:p w14:paraId="054A17C9"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067F4062"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In one retrospective study evaluating drain fluid after radical gastrectomy, fluid levels of both amylase and lipase were statistically higher in patients categorized as having complications associated with pancreatic leakage (versus those without complications). [2]</w:t>
            </w:r>
          </w:p>
        </w:tc>
      </w:tr>
      <w:tr w:rsidR="00EC5238" w:rsidRPr="00EC5238" w14:paraId="772A8D5E" w14:textId="77777777" w:rsidTr="007F0E0D">
        <w:trPr>
          <w:trHeight w:val="300"/>
        </w:trPr>
        <w:tc>
          <w:tcPr>
            <w:tcW w:w="9360" w:type="dxa"/>
            <w:gridSpan w:val="2"/>
            <w:noWrap/>
            <w:hideMark/>
          </w:tcPr>
          <w:p w14:paraId="05004A2F"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1B5D1231" w14:textId="77777777" w:rsidTr="00EC5238">
        <w:trPr>
          <w:trHeight w:val="300"/>
        </w:trPr>
        <w:tc>
          <w:tcPr>
            <w:tcW w:w="1393" w:type="dxa"/>
            <w:vMerge w:val="restart"/>
            <w:noWrap/>
            <w:hideMark/>
          </w:tcPr>
          <w:p w14:paraId="367E3401"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References</w:t>
            </w:r>
          </w:p>
        </w:tc>
        <w:tc>
          <w:tcPr>
            <w:tcW w:w="7967" w:type="dxa"/>
            <w:noWrap/>
            <w:hideMark/>
          </w:tcPr>
          <w:p w14:paraId="229DD0B9"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 xml:space="preserve">[1] Bassi C, </w:t>
            </w:r>
            <w:proofErr w:type="spellStart"/>
            <w:r w:rsidRPr="00EC5238">
              <w:rPr>
                <w:rFonts w:ascii="Calibri" w:eastAsia="Times New Roman" w:hAnsi="Calibri" w:cs="Calibri"/>
                <w:color w:val="000000"/>
                <w:kern w:val="0"/>
                <w:lang w:bidi="ta-IN"/>
                <w14:ligatures w14:val="none"/>
              </w:rPr>
              <w:t>Dervenis</w:t>
            </w:r>
            <w:proofErr w:type="spellEnd"/>
            <w:r w:rsidRPr="00EC5238">
              <w:rPr>
                <w:rFonts w:ascii="Calibri" w:eastAsia="Times New Roman" w:hAnsi="Calibri" w:cs="Calibri"/>
                <w:color w:val="000000"/>
                <w:kern w:val="0"/>
                <w:lang w:bidi="ta-IN"/>
                <w14:ligatures w14:val="none"/>
              </w:rPr>
              <w:t xml:space="preserve"> C, </w:t>
            </w:r>
            <w:proofErr w:type="spellStart"/>
            <w:r w:rsidRPr="00EC5238">
              <w:rPr>
                <w:rFonts w:ascii="Calibri" w:eastAsia="Times New Roman" w:hAnsi="Calibri" w:cs="Calibri"/>
                <w:color w:val="000000"/>
                <w:kern w:val="0"/>
                <w:lang w:bidi="ta-IN"/>
                <w14:ligatures w14:val="none"/>
              </w:rPr>
              <w:t>Butturini</w:t>
            </w:r>
            <w:proofErr w:type="spellEnd"/>
            <w:r w:rsidRPr="00EC5238">
              <w:rPr>
                <w:rFonts w:ascii="Calibri" w:eastAsia="Times New Roman" w:hAnsi="Calibri" w:cs="Calibri"/>
                <w:color w:val="000000"/>
                <w:kern w:val="0"/>
                <w:lang w:bidi="ta-IN"/>
                <w14:ligatures w14:val="none"/>
              </w:rPr>
              <w:t xml:space="preserve"> G, Fingerhut A, Yeo C, Izbicki J, Neoptolemos J, Sarr M, </w:t>
            </w:r>
            <w:proofErr w:type="spellStart"/>
            <w:r w:rsidRPr="00EC5238">
              <w:rPr>
                <w:rFonts w:ascii="Calibri" w:eastAsia="Times New Roman" w:hAnsi="Calibri" w:cs="Calibri"/>
                <w:color w:val="000000"/>
                <w:kern w:val="0"/>
                <w:lang w:bidi="ta-IN"/>
                <w14:ligatures w14:val="none"/>
              </w:rPr>
              <w:t>Taverso</w:t>
            </w:r>
            <w:proofErr w:type="spellEnd"/>
            <w:r w:rsidRPr="00EC5238">
              <w:rPr>
                <w:rFonts w:ascii="Calibri" w:eastAsia="Times New Roman" w:hAnsi="Calibri" w:cs="Calibri"/>
                <w:color w:val="000000"/>
                <w:kern w:val="0"/>
                <w:lang w:bidi="ta-IN"/>
                <w14:ligatures w14:val="none"/>
              </w:rPr>
              <w:t xml:space="preserve"> W, Buchler M, for the International Study Group on Pancreatic Fistula. 2005. Postoperative pancreatic fistula: An international study group (ISGPF) definition. Surgery. 138(1):8-13. </w:t>
            </w:r>
          </w:p>
        </w:tc>
      </w:tr>
      <w:tr w:rsidR="00EC5238" w:rsidRPr="00EC5238" w14:paraId="2F31CD37" w14:textId="77777777" w:rsidTr="00EC5238">
        <w:trPr>
          <w:trHeight w:val="300"/>
        </w:trPr>
        <w:tc>
          <w:tcPr>
            <w:tcW w:w="1393" w:type="dxa"/>
            <w:vMerge/>
            <w:noWrap/>
            <w:hideMark/>
          </w:tcPr>
          <w:p w14:paraId="5C8F9221"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0AE5DBE6"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[2] Seo KW, Yoon KY, Lee SH, Shin YM, Choi KH, Hwang HY. 2011. Amylase, lipase, and volume of drainage fluid in gastrectomy for the early detection of complications caused by pancreatic leakage. J Korean Surg Soc. 81:402-407. </w:t>
            </w:r>
          </w:p>
        </w:tc>
      </w:tr>
      <w:tr w:rsidR="00EC5238" w:rsidRPr="00EC5238" w14:paraId="1C6451AB" w14:textId="77777777" w:rsidTr="00505983">
        <w:trPr>
          <w:trHeight w:val="300"/>
        </w:trPr>
        <w:tc>
          <w:tcPr>
            <w:tcW w:w="9360" w:type="dxa"/>
            <w:gridSpan w:val="2"/>
            <w:noWrap/>
            <w:hideMark/>
          </w:tcPr>
          <w:p w14:paraId="5499692A"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49BCDA91" w14:textId="77777777" w:rsidTr="003E225D">
        <w:trPr>
          <w:trHeight w:val="300"/>
        </w:trPr>
        <w:tc>
          <w:tcPr>
            <w:tcW w:w="9360" w:type="dxa"/>
            <w:gridSpan w:val="2"/>
            <w:noWrap/>
            <w:hideMark/>
          </w:tcPr>
          <w:p w14:paraId="72B5F675" w14:textId="0178F1E3" w:rsidR="00EC5238" w:rsidRPr="00EC5238" w:rsidRDefault="00EC5238" w:rsidP="00EC5238">
            <w:pPr>
              <w:spacing w:after="0" w:line="240" w:lineRule="auto"/>
              <w:rPr>
                <w:rFonts w:ascii="Calibri" w:eastAsia="Times New Roman" w:hAnsi="Calibri" w:cs="Calibri"/>
                <w:b/>
                <w:bCs/>
                <w:color w:val="000000"/>
                <w:kern w:val="0"/>
                <w:lang w:bidi="ta-IN"/>
                <w14:ligatures w14:val="none"/>
              </w:rPr>
            </w:pPr>
            <w:r w:rsidRPr="00EC5238">
              <w:rPr>
                <w:rFonts w:ascii="Calibri" w:eastAsia="Times New Roman" w:hAnsi="Calibri" w:cs="Calibri"/>
                <w:b/>
                <w:bCs/>
                <w:color w:val="000000"/>
                <w:kern w:val="0"/>
                <w:lang w:bidi="ta-IN"/>
                <w14:ligatures w14:val="none"/>
              </w:rPr>
              <w:t>Pancreatic Fluid Lipase</w:t>
            </w:r>
          </w:p>
        </w:tc>
      </w:tr>
      <w:tr w:rsidR="00EC5238" w:rsidRPr="00EC5238" w14:paraId="5645CE2D" w14:textId="77777777" w:rsidTr="00EC5238">
        <w:trPr>
          <w:trHeight w:val="300"/>
        </w:trPr>
        <w:tc>
          <w:tcPr>
            <w:tcW w:w="1393" w:type="dxa"/>
            <w:noWrap/>
            <w:hideMark/>
          </w:tcPr>
          <w:p w14:paraId="6D19D473"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Clinical Indications</w:t>
            </w:r>
          </w:p>
        </w:tc>
        <w:tc>
          <w:tcPr>
            <w:tcW w:w="7967" w:type="dxa"/>
            <w:noWrap/>
            <w:hideMark/>
          </w:tcPr>
          <w:p w14:paraId="12F82F93"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Supportive evidence for pancreatic source of fluid accumulation</w:t>
            </w:r>
          </w:p>
        </w:tc>
      </w:tr>
      <w:tr w:rsidR="00EC5238" w:rsidRPr="00EC5238" w14:paraId="580649CE" w14:textId="77777777" w:rsidTr="007E7377">
        <w:trPr>
          <w:trHeight w:val="300"/>
        </w:trPr>
        <w:tc>
          <w:tcPr>
            <w:tcW w:w="9360" w:type="dxa"/>
            <w:gridSpan w:val="2"/>
            <w:noWrap/>
            <w:hideMark/>
          </w:tcPr>
          <w:p w14:paraId="549AF719"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7E22F3D5" w14:textId="77777777" w:rsidTr="00EC5238">
        <w:trPr>
          <w:trHeight w:val="300"/>
        </w:trPr>
        <w:tc>
          <w:tcPr>
            <w:tcW w:w="1393" w:type="dxa"/>
            <w:vMerge w:val="restart"/>
            <w:noWrap/>
            <w:hideMark/>
          </w:tcPr>
          <w:p w14:paraId="044A47DF"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 Interval and/or Interpretive Information</w:t>
            </w:r>
          </w:p>
        </w:tc>
        <w:tc>
          <w:tcPr>
            <w:tcW w:w="7967" w:type="dxa"/>
            <w:noWrap/>
            <w:hideMark/>
          </w:tcPr>
          <w:p w14:paraId="30B3D5EF"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Fluid lipase may provide supportive information as to pancreatic fluid source type if amylase levels are inconclusive, when considered along with a corresponding serum specimen.</w:t>
            </w:r>
          </w:p>
        </w:tc>
      </w:tr>
      <w:tr w:rsidR="00EC5238" w:rsidRPr="00EC5238" w14:paraId="2A4BA571" w14:textId="77777777" w:rsidTr="00EC5238">
        <w:trPr>
          <w:trHeight w:val="300"/>
        </w:trPr>
        <w:tc>
          <w:tcPr>
            <w:tcW w:w="1393" w:type="dxa"/>
            <w:vMerge/>
            <w:noWrap/>
            <w:hideMark/>
          </w:tcPr>
          <w:p w14:paraId="1DF1338F"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4953AE1F"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Pancreatic fluid amylase (as opposed to lipase) has been more extensively studied for the differentiation of pancreatic cyst versus pseudocyst. [1]</w:t>
            </w:r>
          </w:p>
        </w:tc>
      </w:tr>
      <w:tr w:rsidR="00EC5238" w:rsidRPr="00EC5238" w14:paraId="1A449ABB" w14:textId="77777777" w:rsidTr="00EC5238">
        <w:trPr>
          <w:trHeight w:val="300"/>
        </w:trPr>
        <w:tc>
          <w:tcPr>
            <w:tcW w:w="1393" w:type="dxa"/>
            <w:vMerge/>
            <w:noWrap/>
            <w:hideMark/>
          </w:tcPr>
          <w:p w14:paraId="3316B326"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08E37D25"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Drain fluid amylase (as opposed to lipase) has been more extensively studied and included in recommendations for the evaluation of pancreatic fistula. [1]</w:t>
            </w:r>
          </w:p>
        </w:tc>
      </w:tr>
      <w:tr w:rsidR="00EC5238" w:rsidRPr="00EC5238" w14:paraId="22EDF781" w14:textId="77777777" w:rsidTr="00AC2ED5">
        <w:trPr>
          <w:trHeight w:val="300"/>
        </w:trPr>
        <w:tc>
          <w:tcPr>
            <w:tcW w:w="9360" w:type="dxa"/>
            <w:gridSpan w:val="2"/>
            <w:noWrap/>
            <w:hideMark/>
          </w:tcPr>
          <w:p w14:paraId="34A116A1"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67C94302" w14:textId="77777777" w:rsidTr="00EC5238">
        <w:trPr>
          <w:trHeight w:val="300"/>
        </w:trPr>
        <w:tc>
          <w:tcPr>
            <w:tcW w:w="1393" w:type="dxa"/>
            <w:noWrap/>
            <w:hideMark/>
          </w:tcPr>
          <w:p w14:paraId="1E3CE19D"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References</w:t>
            </w:r>
          </w:p>
        </w:tc>
        <w:tc>
          <w:tcPr>
            <w:tcW w:w="7967" w:type="dxa"/>
            <w:noWrap/>
            <w:hideMark/>
          </w:tcPr>
          <w:p w14:paraId="20A7FE08"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 xml:space="preserve">[1] Bassi C, </w:t>
            </w:r>
            <w:proofErr w:type="spellStart"/>
            <w:r w:rsidRPr="00EC5238">
              <w:rPr>
                <w:rFonts w:ascii="Calibri" w:eastAsia="Times New Roman" w:hAnsi="Calibri" w:cs="Calibri"/>
                <w:color w:val="000000"/>
                <w:kern w:val="0"/>
                <w:lang w:bidi="ta-IN"/>
                <w14:ligatures w14:val="none"/>
              </w:rPr>
              <w:t>Dervenis</w:t>
            </w:r>
            <w:proofErr w:type="spellEnd"/>
            <w:r w:rsidRPr="00EC5238">
              <w:rPr>
                <w:rFonts w:ascii="Calibri" w:eastAsia="Times New Roman" w:hAnsi="Calibri" w:cs="Calibri"/>
                <w:color w:val="000000"/>
                <w:kern w:val="0"/>
                <w:lang w:bidi="ta-IN"/>
                <w14:ligatures w14:val="none"/>
              </w:rPr>
              <w:t xml:space="preserve"> C, </w:t>
            </w:r>
            <w:proofErr w:type="spellStart"/>
            <w:r w:rsidRPr="00EC5238">
              <w:rPr>
                <w:rFonts w:ascii="Calibri" w:eastAsia="Times New Roman" w:hAnsi="Calibri" w:cs="Calibri"/>
                <w:color w:val="000000"/>
                <w:kern w:val="0"/>
                <w:lang w:bidi="ta-IN"/>
                <w14:ligatures w14:val="none"/>
              </w:rPr>
              <w:t>Butturini</w:t>
            </w:r>
            <w:proofErr w:type="spellEnd"/>
            <w:r w:rsidRPr="00EC5238">
              <w:rPr>
                <w:rFonts w:ascii="Calibri" w:eastAsia="Times New Roman" w:hAnsi="Calibri" w:cs="Calibri"/>
                <w:color w:val="000000"/>
                <w:kern w:val="0"/>
                <w:lang w:bidi="ta-IN"/>
                <w14:ligatures w14:val="none"/>
              </w:rPr>
              <w:t xml:space="preserve"> G, Fingerhut A, Yeo C, Izbicki J, Neoptolemos J, Sarr M, </w:t>
            </w:r>
            <w:proofErr w:type="spellStart"/>
            <w:r w:rsidRPr="00EC5238">
              <w:rPr>
                <w:rFonts w:ascii="Calibri" w:eastAsia="Times New Roman" w:hAnsi="Calibri" w:cs="Calibri"/>
                <w:color w:val="000000"/>
                <w:kern w:val="0"/>
                <w:lang w:bidi="ta-IN"/>
                <w14:ligatures w14:val="none"/>
              </w:rPr>
              <w:t>Taverso</w:t>
            </w:r>
            <w:proofErr w:type="spellEnd"/>
            <w:r w:rsidRPr="00EC5238">
              <w:rPr>
                <w:rFonts w:ascii="Calibri" w:eastAsia="Times New Roman" w:hAnsi="Calibri" w:cs="Calibri"/>
                <w:color w:val="000000"/>
                <w:kern w:val="0"/>
                <w:lang w:bidi="ta-IN"/>
                <w14:ligatures w14:val="none"/>
              </w:rPr>
              <w:t xml:space="preserve"> W, Buchler M, for the International Study Group on Pancreatic Fistula. 2005. Postoperative pancreatic fistula: An international study group (ISGPF) definition. Surgery. 138(1):8-13. </w:t>
            </w:r>
          </w:p>
        </w:tc>
      </w:tr>
      <w:tr w:rsidR="00EC5238" w:rsidRPr="00EC5238" w14:paraId="189446C1" w14:textId="77777777" w:rsidTr="0051458E">
        <w:trPr>
          <w:trHeight w:val="300"/>
        </w:trPr>
        <w:tc>
          <w:tcPr>
            <w:tcW w:w="9360" w:type="dxa"/>
            <w:gridSpan w:val="2"/>
            <w:noWrap/>
            <w:hideMark/>
          </w:tcPr>
          <w:p w14:paraId="76BBAACC"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7879803D" w14:textId="77777777" w:rsidTr="00B17571">
        <w:trPr>
          <w:trHeight w:val="300"/>
        </w:trPr>
        <w:tc>
          <w:tcPr>
            <w:tcW w:w="9360" w:type="dxa"/>
            <w:gridSpan w:val="2"/>
            <w:noWrap/>
            <w:hideMark/>
          </w:tcPr>
          <w:p w14:paraId="2476B138" w14:textId="3CCF9521" w:rsidR="00EC5238" w:rsidRPr="00EC5238" w:rsidRDefault="00EC5238" w:rsidP="00EC5238">
            <w:pPr>
              <w:spacing w:after="0" w:line="240" w:lineRule="auto"/>
              <w:rPr>
                <w:rFonts w:ascii="Calibri" w:eastAsia="Times New Roman" w:hAnsi="Calibri" w:cs="Calibri"/>
                <w:b/>
                <w:bCs/>
                <w:color w:val="000000"/>
                <w:kern w:val="0"/>
                <w:lang w:bidi="ta-IN"/>
                <w14:ligatures w14:val="none"/>
              </w:rPr>
            </w:pPr>
            <w:r w:rsidRPr="00EC5238">
              <w:rPr>
                <w:rFonts w:ascii="Calibri" w:eastAsia="Times New Roman" w:hAnsi="Calibri" w:cs="Calibri"/>
                <w:b/>
                <w:bCs/>
                <w:color w:val="000000"/>
                <w:kern w:val="0"/>
                <w:lang w:bidi="ta-IN"/>
                <w14:ligatures w14:val="none"/>
              </w:rPr>
              <w:t>Pericardial Fluid Lipase</w:t>
            </w:r>
          </w:p>
        </w:tc>
      </w:tr>
      <w:tr w:rsidR="00EC5238" w:rsidRPr="00EC5238" w14:paraId="2F80EDEA" w14:textId="77777777" w:rsidTr="00EC5238">
        <w:trPr>
          <w:trHeight w:val="300"/>
        </w:trPr>
        <w:tc>
          <w:tcPr>
            <w:tcW w:w="1393" w:type="dxa"/>
            <w:noWrap/>
            <w:hideMark/>
          </w:tcPr>
          <w:p w14:paraId="6839AEA0"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Clinical Indications</w:t>
            </w:r>
          </w:p>
        </w:tc>
        <w:tc>
          <w:tcPr>
            <w:tcW w:w="7967" w:type="dxa"/>
            <w:noWrap/>
            <w:hideMark/>
          </w:tcPr>
          <w:p w14:paraId="07ED23BE"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Supportive evidence for pancreatic source of fluid accumulation</w:t>
            </w:r>
          </w:p>
        </w:tc>
      </w:tr>
      <w:tr w:rsidR="00EC5238" w:rsidRPr="00EC5238" w14:paraId="425D3949" w14:textId="77777777" w:rsidTr="00CD3C1B">
        <w:trPr>
          <w:trHeight w:val="300"/>
        </w:trPr>
        <w:tc>
          <w:tcPr>
            <w:tcW w:w="9360" w:type="dxa"/>
            <w:gridSpan w:val="2"/>
            <w:noWrap/>
            <w:hideMark/>
          </w:tcPr>
          <w:p w14:paraId="66B82B2D"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42D50039" w14:textId="77777777" w:rsidTr="00EC5238">
        <w:trPr>
          <w:trHeight w:val="300"/>
        </w:trPr>
        <w:tc>
          <w:tcPr>
            <w:tcW w:w="1393" w:type="dxa"/>
            <w:vMerge w:val="restart"/>
            <w:noWrap/>
            <w:hideMark/>
          </w:tcPr>
          <w:p w14:paraId="0D6B88E1"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 Interval and/or Interpretive Information</w:t>
            </w:r>
          </w:p>
        </w:tc>
        <w:tc>
          <w:tcPr>
            <w:tcW w:w="7967" w:type="dxa"/>
            <w:noWrap/>
            <w:hideMark/>
          </w:tcPr>
          <w:p w14:paraId="716ECDAB"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Limited published evidence.</w:t>
            </w:r>
          </w:p>
        </w:tc>
      </w:tr>
      <w:tr w:rsidR="00EC5238" w:rsidRPr="00EC5238" w14:paraId="12AB9E4C" w14:textId="77777777" w:rsidTr="00EC5238">
        <w:trPr>
          <w:trHeight w:val="300"/>
        </w:trPr>
        <w:tc>
          <w:tcPr>
            <w:tcW w:w="1393" w:type="dxa"/>
            <w:vMerge/>
            <w:noWrap/>
            <w:hideMark/>
          </w:tcPr>
          <w:p w14:paraId="00766227"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58A024AB"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May provide supportive evidence for pancreatic origin of fluid collection when considered along with a corresponding serum specimen.</w:t>
            </w:r>
          </w:p>
        </w:tc>
      </w:tr>
      <w:tr w:rsidR="00EC5238" w:rsidRPr="00EC5238" w14:paraId="7B42C6E0" w14:textId="77777777" w:rsidTr="00EC5238">
        <w:trPr>
          <w:trHeight w:val="300"/>
        </w:trPr>
        <w:tc>
          <w:tcPr>
            <w:tcW w:w="1393" w:type="dxa"/>
            <w:vMerge/>
            <w:noWrap/>
            <w:hideMark/>
          </w:tcPr>
          <w:p w14:paraId="5CE4974F"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488D9966"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 xml:space="preserve">Marked elevations of pericardial fluid lipase have been observed in a rare case of </w:t>
            </w:r>
            <w:proofErr w:type="spellStart"/>
            <w:r w:rsidRPr="00EC5238">
              <w:rPr>
                <w:rFonts w:ascii="Calibri" w:eastAsia="Times New Roman" w:hAnsi="Calibri" w:cs="Calibri"/>
                <w:color w:val="000000"/>
                <w:kern w:val="0"/>
                <w:lang w:bidi="ta-IN"/>
                <w14:ligatures w14:val="none"/>
              </w:rPr>
              <w:t>pancreatico</w:t>
            </w:r>
            <w:proofErr w:type="spellEnd"/>
            <w:r w:rsidRPr="00EC5238">
              <w:rPr>
                <w:rFonts w:ascii="Calibri" w:eastAsia="Times New Roman" w:hAnsi="Calibri" w:cs="Calibri"/>
                <w:color w:val="000000"/>
                <w:kern w:val="0"/>
                <w:lang w:bidi="ta-IN"/>
                <w14:ligatures w14:val="none"/>
              </w:rPr>
              <w:t>-pericardial fistula.[1]</w:t>
            </w:r>
          </w:p>
        </w:tc>
      </w:tr>
      <w:tr w:rsidR="00EC5238" w:rsidRPr="00EC5238" w14:paraId="3F89235E" w14:textId="77777777" w:rsidTr="00384E0E">
        <w:trPr>
          <w:trHeight w:val="300"/>
        </w:trPr>
        <w:tc>
          <w:tcPr>
            <w:tcW w:w="9360" w:type="dxa"/>
            <w:gridSpan w:val="2"/>
            <w:noWrap/>
            <w:hideMark/>
          </w:tcPr>
          <w:p w14:paraId="32D8BAF5"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2631DB3D" w14:textId="77777777" w:rsidTr="00EC5238">
        <w:trPr>
          <w:trHeight w:val="300"/>
        </w:trPr>
        <w:tc>
          <w:tcPr>
            <w:tcW w:w="1393" w:type="dxa"/>
            <w:noWrap/>
            <w:hideMark/>
          </w:tcPr>
          <w:p w14:paraId="0B1EA93D"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References</w:t>
            </w:r>
          </w:p>
        </w:tc>
        <w:tc>
          <w:tcPr>
            <w:tcW w:w="7967" w:type="dxa"/>
            <w:noWrap/>
            <w:hideMark/>
          </w:tcPr>
          <w:p w14:paraId="324F45B4"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 xml:space="preserve">[1] Sommer CA, Wilcox CM. 2014. </w:t>
            </w:r>
            <w:proofErr w:type="spellStart"/>
            <w:r w:rsidRPr="00EC5238">
              <w:rPr>
                <w:rFonts w:ascii="Calibri" w:eastAsia="Times New Roman" w:hAnsi="Calibri" w:cs="Calibri"/>
                <w:color w:val="000000"/>
                <w:kern w:val="0"/>
                <w:lang w:bidi="ta-IN"/>
                <w14:ligatures w14:val="none"/>
              </w:rPr>
              <w:t>Pancreatico</w:t>
            </w:r>
            <w:proofErr w:type="spellEnd"/>
            <w:r w:rsidRPr="00EC5238">
              <w:rPr>
                <w:rFonts w:ascii="Calibri" w:eastAsia="Times New Roman" w:hAnsi="Calibri" w:cs="Calibri"/>
                <w:color w:val="000000"/>
                <w:kern w:val="0"/>
                <w:lang w:bidi="ta-IN"/>
                <w14:ligatures w14:val="none"/>
              </w:rPr>
              <w:t>-pericardial fistula as a complication of chronic pancreatitis. F1000Res. 3:31</w:t>
            </w:r>
          </w:p>
        </w:tc>
      </w:tr>
      <w:tr w:rsidR="00EC5238" w:rsidRPr="00EC5238" w14:paraId="6450306B" w14:textId="77777777" w:rsidTr="0049706E">
        <w:trPr>
          <w:trHeight w:val="300"/>
        </w:trPr>
        <w:tc>
          <w:tcPr>
            <w:tcW w:w="9360" w:type="dxa"/>
            <w:gridSpan w:val="2"/>
            <w:noWrap/>
            <w:hideMark/>
          </w:tcPr>
          <w:p w14:paraId="6683AB51"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550F2F9F" w14:textId="77777777" w:rsidTr="00863864">
        <w:trPr>
          <w:trHeight w:val="300"/>
        </w:trPr>
        <w:tc>
          <w:tcPr>
            <w:tcW w:w="9360" w:type="dxa"/>
            <w:gridSpan w:val="2"/>
            <w:noWrap/>
            <w:hideMark/>
          </w:tcPr>
          <w:p w14:paraId="085236DB" w14:textId="23EFA02C" w:rsidR="00EC5238" w:rsidRPr="00EC5238" w:rsidRDefault="00EC5238" w:rsidP="00EC5238">
            <w:pPr>
              <w:spacing w:after="0" w:line="240" w:lineRule="auto"/>
              <w:rPr>
                <w:rFonts w:ascii="Calibri" w:eastAsia="Times New Roman" w:hAnsi="Calibri" w:cs="Calibri"/>
                <w:b/>
                <w:bCs/>
                <w:color w:val="000000"/>
                <w:kern w:val="0"/>
                <w:lang w:bidi="ta-IN"/>
                <w14:ligatures w14:val="none"/>
              </w:rPr>
            </w:pPr>
            <w:r w:rsidRPr="00EC5238">
              <w:rPr>
                <w:rFonts w:ascii="Calibri" w:eastAsia="Times New Roman" w:hAnsi="Calibri" w:cs="Calibri"/>
                <w:b/>
                <w:bCs/>
                <w:color w:val="000000"/>
                <w:kern w:val="0"/>
                <w:lang w:bidi="ta-IN"/>
                <w14:ligatures w14:val="none"/>
              </w:rPr>
              <w:t>Peritoneal/​Ascites Fluid Lipase</w:t>
            </w:r>
          </w:p>
        </w:tc>
      </w:tr>
      <w:tr w:rsidR="00EC5238" w:rsidRPr="00EC5238" w14:paraId="495794D7" w14:textId="77777777" w:rsidTr="00EC5238">
        <w:trPr>
          <w:trHeight w:val="300"/>
        </w:trPr>
        <w:tc>
          <w:tcPr>
            <w:tcW w:w="1393" w:type="dxa"/>
            <w:noWrap/>
            <w:hideMark/>
          </w:tcPr>
          <w:p w14:paraId="42A2CC37"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Clinical Indications</w:t>
            </w:r>
          </w:p>
        </w:tc>
        <w:tc>
          <w:tcPr>
            <w:tcW w:w="7967" w:type="dxa"/>
            <w:noWrap/>
            <w:hideMark/>
          </w:tcPr>
          <w:p w14:paraId="7A813192"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Evaluation of pancreatic ascites</w:t>
            </w:r>
          </w:p>
        </w:tc>
      </w:tr>
      <w:tr w:rsidR="00EC5238" w:rsidRPr="00EC5238" w14:paraId="6C0FDE12" w14:textId="77777777" w:rsidTr="00661BB8">
        <w:trPr>
          <w:trHeight w:val="300"/>
        </w:trPr>
        <w:tc>
          <w:tcPr>
            <w:tcW w:w="9360" w:type="dxa"/>
            <w:gridSpan w:val="2"/>
            <w:noWrap/>
            <w:hideMark/>
          </w:tcPr>
          <w:p w14:paraId="5653E89E"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04B0F7F1" w14:textId="77777777" w:rsidTr="00EC5238">
        <w:trPr>
          <w:trHeight w:val="300"/>
        </w:trPr>
        <w:tc>
          <w:tcPr>
            <w:tcW w:w="1393" w:type="dxa"/>
            <w:vMerge w:val="restart"/>
            <w:noWrap/>
            <w:hideMark/>
          </w:tcPr>
          <w:p w14:paraId="37C74F3A"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 Interval and/or Interpretive Information</w:t>
            </w:r>
          </w:p>
        </w:tc>
        <w:tc>
          <w:tcPr>
            <w:tcW w:w="7967" w:type="dxa"/>
            <w:noWrap/>
            <w:hideMark/>
          </w:tcPr>
          <w:p w14:paraId="7437331E"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Peritoneal fluid amylase (as opposed to lipase) has been more extensively studied and described in the evaluation of possible pancreatic ascites. [1]</w:t>
            </w:r>
          </w:p>
        </w:tc>
      </w:tr>
      <w:tr w:rsidR="00EC5238" w:rsidRPr="00EC5238" w14:paraId="670A4790" w14:textId="77777777" w:rsidTr="00EC5238">
        <w:trPr>
          <w:trHeight w:val="300"/>
        </w:trPr>
        <w:tc>
          <w:tcPr>
            <w:tcW w:w="1393" w:type="dxa"/>
            <w:vMerge/>
            <w:noWrap/>
            <w:hideMark/>
          </w:tcPr>
          <w:p w14:paraId="14249DB6"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5BC31BB1"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There is insufficient evidence in the literature to support routine analysis of peritoneal fluid lipase activity.</w:t>
            </w:r>
          </w:p>
        </w:tc>
      </w:tr>
      <w:tr w:rsidR="00EC5238" w:rsidRPr="00EC5238" w14:paraId="0C0E6969" w14:textId="77777777" w:rsidTr="00EC5238">
        <w:trPr>
          <w:trHeight w:val="300"/>
        </w:trPr>
        <w:tc>
          <w:tcPr>
            <w:tcW w:w="1393" w:type="dxa"/>
            <w:vMerge/>
            <w:noWrap/>
            <w:hideMark/>
          </w:tcPr>
          <w:p w14:paraId="10685F98"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0F27FC80"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May provide supportive evidence for pancreatic origin of fluid collections (if amylase levels are inconclusive), when considered along with a corresponding serum specimen.</w:t>
            </w:r>
          </w:p>
        </w:tc>
      </w:tr>
      <w:tr w:rsidR="00EC5238" w:rsidRPr="00EC5238" w14:paraId="6C3F951D" w14:textId="77777777" w:rsidTr="006D5E7E">
        <w:trPr>
          <w:trHeight w:val="300"/>
        </w:trPr>
        <w:tc>
          <w:tcPr>
            <w:tcW w:w="9360" w:type="dxa"/>
            <w:gridSpan w:val="2"/>
            <w:noWrap/>
            <w:hideMark/>
          </w:tcPr>
          <w:p w14:paraId="1D193CD6"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198CDBFB" w14:textId="77777777" w:rsidTr="00EC5238">
        <w:trPr>
          <w:trHeight w:val="300"/>
        </w:trPr>
        <w:tc>
          <w:tcPr>
            <w:tcW w:w="1393" w:type="dxa"/>
            <w:noWrap/>
            <w:hideMark/>
          </w:tcPr>
          <w:p w14:paraId="5E485C4A"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References</w:t>
            </w:r>
          </w:p>
        </w:tc>
        <w:tc>
          <w:tcPr>
            <w:tcW w:w="7967" w:type="dxa"/>
            <w:noWrap/>
            <w:hideMark/>
          </w:tcPr>
          <w:p w14:paraId="19096C4F"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 xml:space="preserve">[1] Kjeldsberg CR, </w:t>
            </w:r>
            <w:proofErr w:type="spellStart"/>
            <w:r w:rsidRPr="00EC5238">
              <w:rPr>
                <w:rFonts w:ascii="Calibri" w:eastAsia="Times New Roman" w:hAnsi="Calibri" w:cs="Calibri"/>
                <w:color w:val="000000"/>
                <w:kern w:val="0"/>
                <w:lang w:bidi="ta-IN"/>
                <w14:ligatures w14:val="none"/>
              </w:rPr>
              <w:t>Straseski</w:t>
            </w:r>
            <w:proofErr w:type="spellEnd"/>
            <w:r w:rsidRPr="00EC5238">
              <w:rPr>
                <w:rFonts w:ascii="Calibri" w:eastAsia="Times New Roman" w:hAnsi="Calibri" w:cs="Calibri"/>
                <w:color w:val="000000"/>
                <w:kern w:val="0"/>
                <w:lang w:bidi="ta-IN"/>
                <w14:ligatures w14:val="none"/>
              </w:rPr>
              <w:t xml:space="preserve"> JA, Couturier MR, Cohen MB. Chapter 6: Peritoneal fluid. In Kjeldsberg’s Body Fluid Analysis. Hussong JW and Kjeldsberg CR, Eds. ASCP Press: Chicago, IL, 2015. ISBN: 978-089189-5824.</w:t>
            </w:r>
          </w:p>
        </w:tc>
      </w:tr>
      <w:tr w:rsidR="00EC5238" w:rsidRPr="00EC5238" w14:paraId="03966D7D" w14:textId="77777777" w:rsidTr="00544C09">
        <w:trPr>
          <w:trHeight w:val="300"/>
        </w:trPr>
        <w:tc>
          <w:tcPr>
            <w:tcW w:w="9360" w:type="dxa"/>
            <w:gridSpan w:val="2"/>
            <w:noWrap/>
            <w:hideMark/>
          </w:tcPr>
          <w:p w14:paraId="6A48BD63"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458E5F96" w14:textId="77777777" w:rsidTr="00B51F5D">
        <w:trPr>
          <w:trHeight w:val="300"/>
        </w:trPr>
        <w:tc>
          <w:tcPr>
            <w:tcW w:w="9360" w:type="dxa"/>
            <w:gridSpan w:val="2"/>
            <w:noWrap/>
            <w:hideMark/>
          </w:tcPr>
          <w:p w14:paraId="520C8670" w14:textId="59C4E7B2" w:rsidR="00EC5238" w:rsidRPr="00EC5238" w:rsidRDefault="00EC5238" w:rsidP="00EC5238">
            <w:pPr>
              <w:spacing w:after="0" w:line="240" w:lineRule="auto"/>
              <w:rPr>
                <w:rFonts w:ascii="Calibri" w:eastAsia="Times New Roman" w:hAnsi="Calibri" w:cs="Calibri"/>
                <w:b/>
                <w:bCs/>
                <w:color w:val="000000"/>
                <w:kern w:val="0"/>
                <w:lang w:bidi="ta-IN"/>
                <w14:ligatures w14:val="none"/>
              </w:rPr>
            </w:pPr>
            <w:r w:rsidRPr="00EC5238">
              <w:rPr>
                <w:rFonts w:ascii="Calibri" w:eastAsia="Times New Roman" w:hAnsi="Calibri" w:cs="Calibri"/>
                <w:b/>
                <w:bCs/>
                <w:color w:val="000000"/>
                <w:kern w:val="0"/>
                <w:lang w:bidi="ta-IN"/>
                <w14:ligatures w14:val="none"/>
              </w:rPr>
              <w:t>Pleural Fluid Lipase</w:t>
            </w:r>
          </w:p>
        </w:tc>
      </w:tr>
      <w:tr w:rsidR="00EC5238" w:rsidRPr="00EC5238" w14:paraId="2B0E3EFF" w14:textId="77777777" w:rsidTr="00EC5238">
        <w:trPr>
          <w:trHeight w:val="300"/>
        </w:trPr>
        <w:tc>
          <w:tcPr>
            <w:tcW w:w="1393" w:type="dxa"/>
            <w:noWrap/>
            <w:hideMark/>
          </w:tcPr>
          <w:p w14:paraId="01F5E2B9"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Clinical Indications</w:t>
            </w:r>
          </w:p>
        </w:tc>
        <w:tc>
          <w:tcPr>
            <w:tcW w:w="7967" w:type="dxa"/>
            <w:noWrap/>
            <w:hideMark/>
          </w:tcPr>
          <w:p w14:paraId="510795E4"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Evaluation of suspected pancreatic-pleural fistula</w:t>
            </w:r>
          </w:p>
        </w:tc>
      </w:tr>
      <w:tr w:rsidR="00EC5238" w:rsidRPr="00EC5238" w14:paraId="640570E8" w14:textId="77777777" w:rsidTr="009159FE">
        <w:trPr>
          <w:trHeight w:val="300"/>
        </w:trPr>
        <w:tc>
          <w:tcPr>
            <w:tcW w:w="9360" w:type="dxa"/>
            <w:gridSpan w:val="2"/>
            <w:noWrap/>
            <w:hideMark/>
          </w:tcPr>
          <w:p w14:paraId="23BEA67B"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08AE966F" w14:textId="77777777" w:rsidTr="00EC5238">
        <w:trPr>
          <w:trHeight w:val="300"/>
        </w:trPr>
        <w:tc>
          <w:tcPr>
            <w:tcW w:w="1393" w:type="dxa"/>
            <w:vMerge w:val="restart"/>
            <w:noWrap/>
            <w:hideMark/>
          </w:tcPr>
          <w:p w14:paraId="3FC96546"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 Interval and/or Interpretive Information</w:t>
            </w:r>
          </w:p>
        </w:tc>
        <w:tc>
          <w:tcPr>
            <w:tcW w:w="7967" w:type="dxa"/>
            <w:noWrap/>
            <w:hideMark/>
          </w:tcPr>
          <w:p w14:paraId="2C3F04F9"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Pleural fluid amylase (as opposed to lipase) has been more extensively described, although it is usually not clinically indicated in routine pleural fluid analysis. [1,2]</w:t>
            </w:r>
          </w:p>
        </w:tc>
      </w:tr>
      <w:tr w:rsidR="00EC5238" w:rsidRPr="00EC5238" w14:paraId="1B98CDCC" w14:textId="77777777" w:rsidTr="00EC5238">
        <w:trPr>
          <w:trHeight w:val="300"/>
        </w:trPr>
        <w:tc>
          <w:tcPr>
            <w:tcW w:w="1393" w:type="dxa"/>
            <w:vMerge/>
            <w:noWrap/>
            <w:hideMark/>
          </w:tcPr>
          <w:p w14:paraId="2CCDC8DD"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6D9F8406"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 xml:space="preserve">Markedly elevated pleural fluid lipase (and amylase) </w:t>
            </w:r>
            <w:proofErr w:type="gramStart"/>
            <w:r w:rsidRPr="00EC5238">
              <w:rPr>
                <w:rFonts w:ascii="Calibri" w:eastAsia="Times New Roman" w:hAnsi="Calibri" w:cs="Calibri"/>
                <w:color w:val="000000"/>
                <w:kern w:val="0"/>
                <w:lang w:bidi="ta-IN"/>
                <w14:ligatures w14:val="none"/>
              </w:rPr>
              <w:t>have</w:t>
            </w:r>
            <w:proofErr w:type="gramEnd"/>
            <w:r w:rsidRPr="00EC5238">
              <w:rPr>
                <w:rFonts w:ascii="Calibri" w:eastAsia="Times New Roman" w:hAnsi="Calibri" w:cs="Calibri"/>
                <w:color w:val="000000"/>
                <w:kern w:val="0"/>
                <w:lang w:bidi="ta-IN"/>
                <w14:ligatures w14:val="none"/>
              </w:rPr>
              <w:t xml:space="preserve"> been observed with pancreatic-pleural fistula. [3]</w:t>
            </w:r>
          </w:p>
        </w:tc>
      </w:tr>
      <w:tr w:rsidR="00EC5238" w:rsidRPr="00EC5238" w14:paraId="25BDD758" w14:textId="77777777" w:rsidTr="00EC5238">
        <w:trPr>
          <w:trHeight w:val="300"/>
        </w:trPr>
        <w:tc>
          <w:tcPr>
            <w:tcW w:w="1393" w:type="dxa"/>
            <w:noWrap/>
            <w:hideMark/>
          </w:tcPr>
          <w:p w14:paraId="501BC913"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54FDC00F"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1EE224DA" w14:textId="77777777" w:rsidTr="00EC5238">
        <w:trPr>
          <w:trHeight w:val="300"/>
        </w:trPr>
        <w:tc>
          <w:tcPr>
            <w:tcW w:w="1393" w:type="dxa"/>
            <w:vMerge w:val="restart"/>
            <w:noWrap/>
            <w:hideMark/>
          </w:tcPr>
          <w:p w14:paraId="7EFB00EA"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References</w:t>
            </w:r>
          </w:p>
        </w:tc>
        <w:tc>
          <w:tcPr>
            <w:tcW w:w="7967" w:type="dxa"/>
            <w:noWrap/>
            <w:hideMark/>
          </w:tcPr>
          <w:p w14:paraId="7E5F08D1"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[1] Branca P, Rodriguez RM, Rogers JT, Ayo DS, Moyers JP, Light RW. 2001. Routine measurement of pleural fluid amylase is not indicated. Arch Intern Med. 161(2):228-232. </w:t>
            </w:r>
          </w:p>
        </w:tc>
      </w:tr>
      <w:tr w:rsidR="00EC5238" w:rsidRPr="00EC5238" w14:paraId="68D2968C" w14:textId="77777777" w:rsidTr="00EC5238">
        <w:trPr>
          <w:trHeight w:val="300"/>
        </w:trPr>
        <w:tc>
          <w:tcPr>
            <w:tcW w:w="1393" w:type="dxa"/>
            <w:vMerge/>
            <w:noWrap/>
            <w:hideMark/>
          </w:tcPr>
          <w:p w14:paraId="64AC7A76"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47E2F4B5"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[2] Kjeldsberg CR, Grenache DG, Couturier MR, Cohen MB. Chapter 5: Pleural and pericardial fluid. In Kjeldsberg’s Body Fluid Analysis. Hussong JW and Kjeldsberg CR, Eds. ASCP Press: Chicago, IL, 2015. ISBN: 978-089189-5824.</w:t>
            </w:r>
          </w:p>
        </w:tc>
      </w:tr>
      <w:tr w:rsidR="00EC5238" w:rsidRPr="00EC5238" w14:paraId="3BAB9C96" w14:textId="77777777" w:rsidTr="00EC5238">
        <w:trPr>
          <w:trHeight w:val="300"/>
        </w:trPr>
        <w:tc>
          <w:tcPr>
            <w:tcW w:w="1393" w:type="dxa"/>
            <w:vMerge/>
            <w:noWrap/>
            <w:hideMark/>
          </w:tcPr>
          <w:p w14:paraId="71E66E0B"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30189F7F"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 xml:space="preserve">[3] </w:t>
            </w:r>
            <w:proofErr w:type="spellStart"/>
            <w:r w:rsidRPr="00EC5238">
              <w:rPr>
                <w:rFonts w:ascii="Calibri" w:eastAsia="Times New Roman" w:hAnsi="Calibri" w:cs="Calibri"/>
                <w:color w:val="000000"/>
                <w:kern w:val="0"/>
                <w:lang w:bidi="ta-IN"/>
                <w14:ligatures w14:val="none"/>
              </w:rPr>
              <w:t>Elkaoui</w:t>
            </w:r>
            <w:proofErr w:type="spellEnd"/>
            <w:r w:rsidRPr="00EC5238">
              <w:rPr>
                <w:rFonts w:ascii="Calibri" w:eastAsia="Times New Roman" w:hAnsi="Calibri" w:cs="Calibri"/>
                <w:color w:val="000000"/>
                <w:kern w:val="0"/>
                <w:lang w:bidi="ta-IN"/>
                <w14:ligatures w14:val="none"/>
              </w:rPr>
              <w:t xml:space="preserve"> H, </w:t>
            </w:r>
            <w:proofErr w:type="spellStart"/>
            <w:r w:rsidRPr="00EC5238">
              <w:rPr>
                <w:rFonts w:ascii="Calibri" w:eastAsia="Times New Roman" w:hAnsi="Calibri" w:cs="Calibri"/>
                <w:color w:val="000000"/>
                <w:kern w:val="0"/>
                <w:lang w:bidi="ta-IN"/>
                <w14:ligatures w14:val="none"/>
              </w:rPr>
              <w:t>Atoini</w:t>
            </w:r>
            <w:proofErr w:type="spellEnd"/>
            <w:r w:rsidRPr="00EC5238">
              <w:rPr>
                <w:rFonts w:ascii="Calibri" w:eastAsia="Times New Roman" w:hAnsi="Calibri" w:cs="Calibri"/>
                <w:color w:val="000000"/>
                <w:kern w:val="0"/>
                <w:lang w:bidi="ta-IN"/>
                <w14:ligatures w14:val="none"/>
              </w:rPr>
              <w:t xml:space="preserve"> F, </w:t>
            </w:r>
            <w:proofErr w:type="spellStart"/>
            <w:r w:rsidRPr="00EC5238">
              <w:rPr>
                <w:rFonts w:ascii="Calibri" w:eastAsia="Times New Roman" w:hAnsi="Calibri" w:cs="Calibri"/>
                <w:color w:val="000000"/>
                <w:kern w:val="0"/>
                <w:lang w:bidi="ta-IN"/>
                <w14:ligatures w14:val="none"/>
              </w:rPr>
              <w:t>Bouchentouf</w:t>
            </w:r>
            <w:proofErr w:type="spellEnd"/>
            <w:r w:rsidRPr="00EC5238">
              <w:rPr>
                <w:rFonts w:ascii="Calibri" w:eastAsia="Times New Roman" w:hAnsi="Calibri" w:cs="Calibri"/>
                <w:color w:val="000000"/>
                <w:kern w:val="0"/>
                <w:lang w:bidi="ta-IN"/>
                <w14:ligatures w14:val="none"/>
              </w:rPr>
              <w:t xml:space="preserve"> SM, El Omari F, Mahi M, </w:t>
            </w:r>
            <w:proofErr w:type="spellStart"/>
            <w:r w:rsidRPr="00EC5238">
              <w:rPr>
                <w:rFonts w:ascii="Calibri" w:eastAsia="Times New Roman" w:hAnsi="Calibri" w:cs="Calibri"/>
                <w:color w:val="000000"/>
                <w:kern w:val="0"/>
                <w:lang w:bidi="ta-IN"/>
                <w14:ligatures w14:val="none"/>
              </w:rPr>
              <w:t>Ait</w:t>
            </w:r>
            <w:proofErr w:type="spellEnd"/>
            <w:r w:rsidRPr="00EC5238">
              <w:rPr>
                <w:rFonts w:ascii="Calibri" w:eastAsia="Times New Roman" w:hAnsi="Calibri" w:cs="Calibri"/>
                <w:color w:val="000000"/>
                <w:kern w:val="0"/>
                <w:lang w:bidi="ta-IN"/>
                <w14:ligatures w14:val="none"/>
              </w:rPr>
              <w:t xml:space="preserve"> Ali A, </w:t>
            </w:r>
            <w:proofErr w:type="spellStart"/>
            <w:r w:rsidRPr="00EC5238">
              <w:rPr>
                <w:rFonts w:ascii="Calibri" w:eastAsia="Times New Roman" w:hAnsi="Calibri" w:cs="Calibri"/>
                <w:color w:val="000000"/>
                <w:kern w:val="0"/>
                <w:lang w:bidi="ta-IN"/>
                <w14:ligatures w14:val="none"/>
              </w:rPr>
              <w:t>Bounaim</w:t>
            </w:r>
            <w:proofErr w:type="spellEnd"/>
            <w:r w:rsidRPr="00EC5238">
              <w:rPr>
                <w:rFonts w:ascii="Calibri" w:eastAsia="Times New Roman" w:hAnsi="Calibri" w:cs="Calibri"/>
                <w:color w:val="000000"/>
                <w:kern w:val="0"/>
                <w:lang w:bidi="ta-IN"/>
                <w14:ligatures w14:val="none"/>
              </w:rPr>
              <w:t xml:space="preserve"> A, Sair K, </w:t>
            </w:r>
            <w:proofErr w:type="spellStart"/>
            <w:r w:rsidRPr="00EC5238">
              <w:rPr>
                <w:rFonts w:ascii="Calibri" w:eastAsia="Times New Roman" w:hAnsi="Calibri" w:cs="Calibri"/>
                <w:color w:val="000000"/>
                <w:kern w:val="0"/>
                <w:lang w:bidi="ta-IN"/>
                <w14:ligatures w14:val="none"/>
              </w:rPr>
              <w:t>Zentar</w:t>
            </w:r>
            <w:proofErr w:type="spellEnd"/>
            <w:r w:rsidRPr="00EC5238">
              <w:rPr>
                <w:rFonts w:ascii="Calibri" w:eastAsia="Times New Roman" w:hAnsi="Calibri" w:cs="Calibri"/>
                <w:color w:val="000000"/>
                <w:kern w:val="0"/>
                <w:lang w:bidi="ta-IN"/>
                <w14:ligatures w14:val="none"/>
              </w:rPr>
              <w:t xml:space="preserve"> A. 2012. Pancreatic-pleural fistula in chronic pancreatitis. Arab J Gastroenterol. 13(1):38-40.</w:t>
            </w:r>
          </w:p>
        </w:tc>
      </w:tr>
      <w:tr w:rsidR="00EC5238" w:rsidRPr="00EC5238" w14:paraId="5A15ADC6" w14:textId="77777777" w:rsidTr="0074285A">
        <w:trPr>
          <w:trHeight w:val="300"/>
        </w:trPr>
        <w:tc>
          <w:tcPr>
            <w:tcW w:w="9360" w:type="dxa"/>
            <w:gridSpan w:val="2"/>
            <w:noWrap/>
            <w:hideMark/>
          </w:tcPr>
          <w:p w14:paraId="221D5369"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0A6F335D" w14:textId="77777777" w:rsidTr="005114E2">
        <w:trPr>
          <w:trHeight w:val="300"/>
        </w:trPr>
        <w:tc>
          <w:tcPr>
            <w:tcW w:w="9360" w:type="dxa"/>
            <w:gridSpan w:val="2"/>
            <w:noWrap/>
            <w:hideMark/>
          </w:tcPr>
          <w:p w14:paraId="179A02EE" w14:textId="5ABDBF6B" w:rsidR="00EC5238" w:rsidRPr="00EC5238" w:rsidRDefault="00EC5238" w:rsidP="00EC5238">
            <w:pPr>
              <w:spacing w:after="0" w:line="240" w:lineRule="auto"/>
              <w:rPr>
                <w:rFonts w:ascii="Calibri" w:eastAsia="Times New Roman" w:hAnsi="Calibri" w:cs="Calibri"/>
                <w:b/>
                <w:bCs/>
                <w:color w:val="000000"/>
                <w:kern w:val="0"/>
                <w:lang w:bidi="ta-IN"/>
                <w14:ligatures w14:val="none"/>
              </w:rPr>
            </w:pPr>
            <w:r w:rsidRPr="00EC5238">
              <w:rPr>
                <w:rFonts w:ascii="Calibri" w:eastAsia="Times New Roman" w:hAnsi="Calibri" w:cs="Calibri"/>
                <w:b/>
                <w:bCs/>
                <w:color w:val="000000"/>
                <w:kern w:val="0"/>
                <w:lang w:bidi="ta-IN"/>
                <w14:ligatures w14:val="none"/>
              </w:rPr>
              <w:t>Synovial Fluid Lipase</w:t>
            </w:r>
          </w:p>
        </w:tc>
      </w:tr>
      <w:tr w:rsidR="00EC5238" w:rsidRPr="00EC5238" w14:paraId="06F6DD81" w14:textId="77777777" w:rsidTr="00EC5238">
        <w:trPr>
          <w:trHeight w:val="300"/>
        </w:trPr>
        <w:tc>
          <w:tcPr>
            <w:tcW w:w="1393" w:type="dxa"/>
            <w:noWrap/>
            <w:hideMark/>
          </w:tcPr>
          <w:p w14:paraId="67123486"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Clinical Indications</w:t>
            </w:r>
          </w:p>
        </w:tc>
        <w:tc>
          <w:tcPr>
            <w:tcW w:w="7967" w:type="dxa"/>
            <w:noWrap/>
            <w:hideMark/>
          </w:tcPr>
          <w:p w14:paraId="4075EC4B"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Not well-defined</w:t>
            </w:r>
          </w:p>
        </w:tc>
      </w:tr>
      <w:tr w:rsidR="00EC5238" w:rsidRPr="00EC5238" w14:paraId="1B7A1738" w14:textId="77777777" w:rsidTr="00E91EE7">
        <w:trPr>
          <w:trHeight w:val="300"/>
        </w:trPr>
        <w:tc>
          <w:tcPr>
            <w:tcW w:w="9360" w:type="dxa"/>
            <w:gridSpan w:val="2"/>
            <w:noWrap/>
            <w:hideMark/>
          </w:tcPr>
          <w:p w14:paraId="531D05F3"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6C21DADC" w14:textId="77777777" w:rsidTr="00EC5238">
        <w:trPr>
          <w:trHeight w:val="300"/>
        </w:trPr>
        <w:tc>
          <w:tcPr>
            <w:tcW w:w="1393" w:type="dxa"/>
            <w:vMerge w:val="restart"/>
            <w:noWrap/>
            <w:hideMark/>
          </w:tcPr>
          <w:p w14:paraId="35D96DF3"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 Interval and/or Interpretive Information</w:t>
            </w:r>
          </w:p>
        </w:tc>
        <w:tc>
          <w:tcPr>
            <w:tcW w:w="7967" w:type="dxa"/>
            <w:noWrap/>
            <w:hideMark/>
          </w:tcPr>
          <w:p w14:paraId="715BDC5D"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Lipase is not used in the routine analysis of synovial fluid.</w:t>
            </w:r>
          </w:p>
        </w:tc>
      </w:tr>
      <w:tr w:rsidR="00EC5238" w:rsidRPr="00EC5238" w14:paraId="62C55C5E" w14:textId="77777777" w:rsidTr="00EC5238">
        <w:trPr>
          <w:trHeight w:val="300"/>
        </w:trPr>
        <w:tc>
          <w:tcPr>
            <w:tcW w:w="1393" w:type="dxa"/>
            <w:vMerge/>
            <w:noWrap/>
            <w:hideMark/>
          </w:tcPr>
          <w:p w14:paraId="69D62C85"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5876DB3B"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There is limited published evidence regarding utility for measurement of synovial fluid lipase in cases of arthritis (with or without pancreatitis).</w:t>
            </w:r>
          </w:p>
        </w:tc>
      </w:tr>
      <w:tr w:rsidR="00EC5238" w:rsidRPr="00EC5238" w14:paraId="74B9A900" w14:textId="77777777" w:rsidTr="00EC5238">
        <w:trPr>
          <w:trHeight w:val="300"/>
        </w:trPr>
        <w:tc>
          <w:tcPr>
            <w:tcW w:w="1393" w:type="dxa"/>
            <w:vMerge/>
            <w:noWrap/>
            <w:hideMark/>
          </w:tcPr>
          <w:p w14:paraId="48757E9B"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5E86CED5"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Elevations in synovial fluid lipase have been described in Pancreatitis-Panniculitis-Polyarthritis (PPP) syndrome, a rare disorder. [1,2]</w:t>
            </w:r>
          </w:p>
        </w:tc>
      </w:tr>
      <w:tr w:rsidR="00EC5238" w:rsidRPr="00EC5238" w14:paraId="0D1868BF" w14:textId="77777777" w:rsidTr="00EC5238">
        <w:trPr>
          <w:trHeight w:val="300"/>
        </w:trPr>
        <w:tc>
          <w:tcPr>
            <w:tcW w:w="1393" w:type="dxa"/>
            <w:noWrap/>
            <w:hideMark/>
          </w:tcPr>
          <w:p w14:paraId="11956D39"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2C8BDFE0"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28547BE0" w14:textId="77777777" w:rsidTr="00EC5238">
        <w:trPr>
          <w:trHeight w:val="300"/>
        </w:trPr>
        <w:tc>
          <w:tcPr>
            <w:tcW w:w="1393" w:type="dxa"/>
            <w:vMerge w:val="restart"/>
            <w:noWrap/>
            <w:hideMark/>
          </w:tcPr>
          <w:p w14:paraId="7C772F17"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References</w:t>
            </w:r>
          </w:p>
        </w:tc>
        <w:tc>
          <w:tcPr>
            <w:tcW w:w="7967" w:type="dxa"/>
            <w:noWrap/>
            <w:hideMark/>
          </w:tcPr>
          <w:p w14:paraId="03567F0B"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 xml:space="preserve">[1] </w:t>
            </w:r>
            <w:proofErr w:type="spellStart"/>
            <w:r w:rsidRPr="00EC5238">
              <w:rPr>
                <w:rFonts w:ascii="Calibri" w:eastAsia="Times New Roman" w:hAnsi="Calibri" w:cs="Calibri"/>
                <w:color w:val="000000"/>
                <w:kern w:val="0"/>
                <w:lang w:bidi="ta-IN"/>
                <w14:ligatures w14:val="none"/>
              </w:rPr>
              <w:t>Loverdos</w:t>
            </w:r>
            <w:proofErr w:type="spellEnd"/>
            <w:r w:rsidRPr="00EC5238">
              <w:rPr>
                <w:rFonts w:ascii="Calibri" w:eastAsia="Times New Roman" w:hAnsi="Calibri" w:cs="Calibri"/>
                <w:color w:val="000000"/>
                <w:kern w:val="0"/>
                <w:lang w:bidi="ta-IN"/>
                <w14:ligatures w14:val="none"/>
              </w:rPr>
              <w:t xml:space="preserve"> I, Swan MC, </w:t>
            </w:r>
            <w:proofErr w:type="spellStart"/>
            <w:r w:rsidRPr="00EC5238">
              <w:rPr>
                <w:rFonts w:ascii="Calibri" w:eastAsia="Times New Roman" w:hAnsi="Calibri" w:cs="Calibri"/>
                <w:color w:val="000000"/>
                <w:kern w:val="0"/>
                <w:lang w:bidi="ta-IN"/>
                <w14:ligatures w14:val="none"/>
              </w:rPr>
              <w:t>Shekherdimian</w:t>
            </w:r>
            <w:proofErr w:type="spellEnd"/>
            <w:r w:rsidRPr="00EC5238">
              <w:rPr>
                <w:rFonts w:ascii="Calibri" w:eastAsia="Times New Roman" w:hAnsi="Calibri" w:cs="Calibri"/>
                <w:color w:val="000000"/>
                <w:kern w:val="0"/>
                <w:lang w:bidi="ta-IN"/>
                <w14:ligatures w14:val="none"/>
              </w:rPr>
              <w:t xml:space="preserve"> S, Al-Rasheed AA, Schneider R, Fish JS, Ngan BY, Adeli K, Lowe ME, Singh CP, Sevilla WMA, Langer JC, Gonska T. 2015. A case of pancreatitis, </w:t>
            </w:r>
            <w:proofErr w:type="gramStart"/>
            <w:r w:rsidRPr="00EC5238">
              <w:rPr>
                <w:rFonts w:ascii="Calibri" w:eastAsia="Times New Roman" w:hAnsi="Calibri" w:cs="Calibri"/>
                <w:color w:val="000000"/>
                <w:kern w:val="0"/>
                <w:lang w:bidi="ta-IN"/>
                <w14:ligatures w14:val="none"/>
              </w:rPr>
              <w:t>panniculitis</w:t>
            </w:r>
            <w:proofErr w:type="gramEnd"/>
            <w:r w:rsidRPr="00EC5238">
              <w:rPr>
                <w:rFonts w:ascii="Calibri" w:eastAsia="Times New Roman" w:hAnsi="Calibri" w:cs="Calibri"/>
                <w:color w:val="000000"/>
                <w:kern w:val="0"/>
                <w:lang w:bidi="ta-IN"/>
                <w14:ligatures w14:val="none"/>
              </w:rPr>
              <w:t xml:space="preserve"> and polyarthritis syndrome: elucidating the pathophysiologic mechanisms of a rare disorder. J Ped Surg Case Reports. 3:223-226.</w:t>
            </w:r>
          </w:p>
        </w:tc>
      </w:tr>
      <w:tr w:rsidR="00EC5238" w:rsidRPr="00EC5238" w14:paraId="4A6AB057" w14:textId="77777777" w:rsidTr="00EC5238">
        <w:trPr>
          <w:trHeight w:val="300"/>
        </w:trPr>
        <w:tc>
          <w:tcPr>
            <w:tcW w:w="1393" w:type="dxa"/>
            <w:vMerge/>
            <w:noWrap/>
            <w:hideMark/>
          </w:tcPr>
          <w:p w14:paraId="4C2100AA"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p>
        </w:tc>
        <w:tc>
          <w:tcPr>
            <w:tcW w:w="7967" w:type="dxa"/>
            <w:noWrap/>
            <w:hideMark/>
          </w:tcPr>
          <w:p w14:paraId="29234DC1"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[2] Lin CF, Chiu YM. 2011. Pancreatitis, panniculitis, and polyarthritis syndrome presenting with gouty arthritis: a case report. Journal of Medical Cases. 2(3):110-112.</w:t>
            </w:r>
          </w:p>
        </w:tc>
      </w:tr>
      <w:tr w:rsidR="00EC5238" w:rsidRPr="00EC5238" w14:paraId="7F6C7EF9" w14:textId="77777777" w:rsidTr="00EC5238">
        <w:trPr>
          <w:trHeight w:val="278"/>
        </w:trPr>
        <w:tc>
          <w:tcPr>
            <w:tcW w:w="9360" w:type="dxa"/>
            <w:gridSpan w:val="2"/>
            <w:noWrap/>
            <w:hideMark/>
          </w:tcPr>
          <w:p w14:paraId="4F07F5C6" w14:textId="77777777" w:rsidR="00EC5238" w:rsidRPr="00EC5238" w:rsidRDefault="00EC5238" w:rsidP="00EC5238">
            <w:pPr>
              <w:spacing w:after="0" w:line="240" w:lineRule="auto"/>
              <w:rPr>
                <w:rFonts w:ascii="Times New Roman" w:eastAsia="Times New Roman" w:hAnsi="Times New Roman" w:cs="Times New Roman"/>
                <w:kern w:val="0"/>
                <w:sz w:val="20"/>
                <w:szCs w:val="20"/>
                <w:lang w:bidi="ta-IN"/>
                <w14:ligatures w14:val="none"/>
              </w:rPr>
            </w:pPr>
          </w:p>
        </w:tc>
      </w:tr>
      <w:tr w:rsidR="00EC5238" w:rsidRPr="00EC5238" w14:paraId="618C6A80" w14:textId="77777777" w:rsidTr="00EC5238">
        <w:trPr>
          <w:trHeight w:val="300"/>
        </w:trPr>
        <w:tc>
          <w:tcPr>
            <w:tcW w:w="9360" w:type="dxa"/>
            <w:gridSpan w:val="2"/>
            <w:noWrap/>
            <w:hideMark/>
          </w:tcPr>
          <w:p w14:paraId="4698734F" w14:textId="77777777" w:rsidR="00EC5238" w:rsidRPr="00EC5238" w:rsidRDefault="00EC5238" w:rsidP="00EC5238">
            <w:pPr>
              <w:spacing w:after="0" w:line="240" w:lineRule="auto"/>
              <w:rPr>
                <w:rFonts w:ascii="Calibri" w:eastAsia="Times New Roman" w:hAnsi="Calibri" w:cs="Calibri"/>
                <w:color w:val="000000"/>
                <w:kern w:val="0"/>
                <w:lang w:bidi="ta-IN"/>
                <w14:ligatures w14:val="none"/>
              </w:rPr>
            </w:pPr>
            <w:r w:rsidRPr="00EC5238">
              <w:rPr>
                <w:rFonts w:ascii="Calibri" w:eastAsia="Times New Roman" w:hAnsi="Calibri" w:cs="Calibri"/>
                <w:color w:val="000000"/>
                <w:kern w:val="0"/>
                <w:lang w:bidi="ta-IN"/>
                <w14:ligatures w14:val="none"/>
              </w:rPr>
              <w:t>https://www.aruplab.com/bodyfluids</w:t>
            </w:r>
          </w:p>
        </w:tc>
      </w:tr>
    </w:tbl>
    <w:p w14:paraId="01DD1776" w14:textId="77777777" w:rsidR="00FD0F62" w:rsidRDefault="00FD0F62"/>
    <w:sectPr w:rsidR="00FD0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38"/>
    <w:rsid w:val="00EC5238"/>
    <w:rsid w:val="00FD0F6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D2D2"/>
  <w15:chartTrackingRefBased/>
  <w15:docId w15:val="{90DD1831-53E2-4336-B323-E9F4BB0C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5145</Characters>
  <Application>Microsoft Office Word</Application>
  <DocSecurity>0</DocSecurity>
  <Lines>42</Lines>
  <Paragraphs>12</Paragraphs>
  <ScaleCrop>false</ScaleCrop>
  <Company>Summa Health System</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Palamalai, Vikram</dc:creator>
  <cp:keywords/>
  <dc:description/>
  <cp:lastModifiedBy>Palamalai, Vikram</cp:lastModifiedBy>
  <cp:revision>1</cp:revision>
  <dcterms:created xsi:type="dcterms:W3CDTF">2024-03-14T17:42:00Z</dcterms:created>
  <dcterms:modified xsi:type="dcterms:W3CDTF">2024-03-14T17:46:00Z</dcterms:modified>
</cp:coreProperties>
</file>