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27089" w14:textId="77777777" w:rsidR="005954CB" w:rsidRPr="005954CB" w:rsidRDefault="005954CB" w:rsidP="005954CB">
      <w:pPr>
        <w:jc w:val="center"/>
        <w:rPr>
          <w:sz w:val="36"/>
          <w:szCs w:val="36"/>
        </w:rPr>
      </w:pPr>
      <w:r w:rsidRPr="005954CB">
        <w:rPr>
          <w:sz w:val="36"/>
          <w:szCs w:val="36"/>
        </w:rPr>
        <w:t>Interpretative Information</w:t>
      </w:r>
    </w:p>
    <w:p w14:paraId="689E4895" w14:textId="77777777" w:rsidR="005954CB" w:rsidRDefault="005954CB"/>
    <w:p w14:paraId="59A0881C" w14:textId="20078D70" w:rsidR="003F6D68" w:rsidRDefault="005954CB" w:rsidP="00E70082">
      <w:pPr>
        <w:rPr>
          <w:sz w:val="28"/>
          <w:szCs w:val="28"/>
        </w:rPr>
      </w:pPr>
      <w:r w:rsidRPr="002B7F23">
        <w:rPr>
          <w:sz w:val="28"/>
          <w:szCs w:val="28"/>
        </w:rPr>
        <w:t xml:space="preserve">Analyte:  </w:t>
      </w:r>
      <w:r w:rsidR="003F539A">
        <w:rPr>
          <w:sz w:val="28"/>
          <w:szCs w:val="28"/>
        </w:rPr>
        <w:t>Procalcitonin (PCT)</w:t>
      </w:r>
    </w:p>
    <w:p w14:paraId="5912C973" w14:textId="0891C29D" w:rsidR="008F6F92" w:rsidRDefault="00E8047C" w:rsidP="00310F5F">
      <w:pPr>
        <w:rPr>
          <w:sz w:val="28"/>
          <w:szCs w:val="28"/>
        </w:rPr>
      </w:pPr>
      <w:r w:rsidRPr="002B7F23">
        <w:rPr>
          <w:sz w:val="28"/>
          <w:szCs w:val="28"/>
        </w:rPr>
        <w:t>Re</w:t>
      </w:r>
      <w:r w:rsidR="003E4097" w:rsidRPr="003E4097">
        <w:rPr>
          <w:sz w:val="28"/>
          <w:szCs w:val="28"/>
        </w:rPr>
        <w:t>ference Interval (</w:t>
      </w:r>
      <w:r w:rsidR="006802E4">
        <w:rPr>
          <w:sz w:val="28"/>
          <w:szCs w:val="28"/>
        </w:rPr>
        <w:t>1</w:t>
      </w:r>
      <w:r w:rsidR="003E4097" w:rsidRPr="003E4097">
        <w:rPr>
          <w:sz w:val="28"/>
          <w:szCs w:val="28"/>
        </w:rPr>
        <w:t>)</w:t>
      </w:r>
      <w:r w:rsidR="007275DB">
        <w:rPr>
          <w:sz w:val="28"/>
          <w:szCs w:val="28"/>
        </w:rPr>
        <w:t xml:space="preserve">: </w:t>
      </w:r>
    </w:p>
    <w:tbl>
      <w:tblPr>
        <w:tblStyle w:val="TableGrid"/>
        <w:tblW w:w="0" w:type="auto"/>
        <w:tblLook w:val="04A0" w:firstRow="1" w:lastRow="0" w:firstColumn="1" w:lastColumn="0" w:noHBand="0" w:noVBand="1"/>
      </w:tblPr>
      <w:tblGrid>
        <w:gridCol w:w="2515"/>
        <w:gridCol w:w="1060"/>
      </w:tblGrid>
      <w:tr w:rsidR="006802E4" w:rsidRPr="006802E4" w14:paraId="153320BD" w14:textId="77777777" w:rsidTr="006802E4">
        <w:trPr>
          <w:trHeight w:val="300"/>
        </w:trPr>
        <w:tc>
          <w:tcPr>
            <w:tcW w:w="2515" w:type="dxa"/>
            <w:noWrap/>
            <w:hideMark/>
          </w:tcPr>
          <w:p w14:paraId="2F842E44" w14:textId="77777777" w:rsidR="006802E4" w:rsidRPr="006802E4" w:rsidRDefault="006802E4">
            <w:pPr>
              <w:rPr>
                <w:sz w:val="32"/>
                <w:szCs w:val="32"/>
              </w:rPr>
            </w:pPr>
            <w:r w:rsidRPr="006802E4">
              <w:rPr>
                <w:sz w:val="32"/>
                <w:szCs w:val="32"/>
              </w:rPr>
              <w:t>Procalcitonin</w:t>
            </w:r>
          </w:p>
        </w:tc>
        <w:tc>
          <w:tcPr>
            <w:tcW w:w="453" w:type="dxa"/>
            <w:noWrap/>
            <w:hideMark/>
          </w:tcPr>
          <w:p w14:paraId="7CEFC3B0" w14:textId="77777777" w:rsidR="006802E4" w:rsidRPr="006802E4" w:rsidRDefault="006802E4" w:rsidP="006802E4">
            <w:pPr>
              <w:rPr>
                <w:sz w:val="32"/>
                <w:szCs w:val="32"/>
              </w:rPr>
            </w:pPr>
            <w:r w:rsidRPr="006802E4">
              <w:rPr>
                <w:sz w:val="32"/>
                <w:szCs w:val="32"/>
              </w:rPr>
              <w:t>ng/mL</w:t>
            </w:r>
          </w:p>
        </w:tc>
      </w:tr>
      <w:tr w:rsidR="006802E4" w:rsidRPr="006802E4" w14:paraId="0BCBC2AE" w14:textId="77777777" w:rsidTr="006802E4">
        <w:trPr>
          <w:trHeight w:val="345"/>
        </w:trPr>
        <w:tc>
          <w:tcPr>
            <w:tcW w:w="2515" w:type="dxa"/>
            <w:noWrap/>
            <w:hideMark/>
          </w:tcPr>
          <w:p w14:paraId="657BB86B" w14:textId="77777777" w:rsidR="006802E4" w:rsidRPr="006802E4" w:rsidRDefault="006802E4">
            <w:pPr>
              <w:rPr>
                <w:sz w:val="32"/>
                <w:szCs w:val="32"/>
              </w:rPr>
            </w:pPr>
            <w:r w:rsidRPr="006802E4">
              <w:rPr>
                <w:sz w:val="32"/>
                <w:szCs w:val="32"/>
              </w:rPr>
              <w:t>97.5</w:t>
            </w:r>
            <w:r w:rsidRPr="006802E4">
              <w:rPr>
                <w:sz w:val="32"/>
                <w:szCs w:val="32"/>
                <w:vertAlign w:val="superscript"/>
              </w:rPr>
              <w:t xml:space="preserve">th </w:t>
            </w:r>
            <w:r w:rsidRPr="006802E4">
              <w:rPr>
                <w:sz w:val="32"/>
                <w:szCs w:val="32"/>
              </w:rPr>
              <w:t xml:space="preserve">Percentile </w:t>
            </w:r>
          </w:p>
        </w:tc>
        <w:tc>
          <w:tcPr>
            <w:tcW w:w="453" w:type="dxa"/>
            <w:noWrap/>
            <w:hideMark/>
          </w:tcPr>
          <w:p w14:paraId="565EBED5" w14:textId="77777777" w:rsidR="006802E4" w:rsidRPr="006802E4" w:rsidRDefault="006802E4" w:rsidP="006802E4">
            <w:pPr>
              <w:rPr>
                <w:sz w:val="32"/>
                <w:szCs w:val="32"/>
              </w:rPr>
            </w:pPr>
            <w:r w:rsidRPr="006802E4">
              <w:rPr>
                <w:sz w:val="32"/>
                <w:szCs w:val="32"/>
              </w:rPr>
              <w:t>&lt;0.07</w:t>
            </w:r>
          </w:p>
        </w:tc>
      </w:tr>
    </w:tbl>
    <w:p w14:paraId="758FF1FF" w14:textId="77777777" w:rsidR="00310F5F" w:rsidRDefault="00310F5F" w:rsidP="0023705A">
      <w:pPr>
        <w:rPr>
          <w:sz w:val="32"/>
          <w:szCs w:val="32"/>
        </w:rPr>
      </w:pPr>
    </w:p>
    <w:p w14:paraId="495AC70E" w14:textId="665F100C" w:rsidR="00E73811" w:rsidRDefault="00E73811" w:rsidP="0023705A">
      <w:pPr>
        <w:rPr>
          <w:sz w:val="32"/>
          <w:szCs w:val="32"/>
        </w:rPr>
      </w:pPr>
      <w:r w:rsidRPr="00E73811">
        <w:rPr>
          <w:sz w:val="32"/>
          <w:szCs w:val="32"/>
        </w:rPr>
        <w:t>Reference Interval (</w:t>
      </w:r>
      <w:r>
        <w:rPr>
          <w:sz w:val="32"/>
          <w:szCs w:val="32"/>
        </w:rPr>
        <w:t>2</w:t>
      </w:r>
      <w:r w:rsidRPr="00E73811">
        <w:rPr>
          <w:sz w:val="32"/>
          <w:szCs w:val="32"/>
        </w:rPr>
        <w:t>):</w:t>
      </w:r>
    </w:p>
    <w:tbl>
      <w:tblPr>
        <w:tblStyle w:val="TableGrid"/>
        <w:tblW w:w="0" w:type="auto"/>
        <w:tblLook w:val="04A0" w:firstRow="1" w:lastRow="0" w:firstColumn="1" w:lastColumn="0" w:noHBand="0" w:noVBand="1"/>
      </w:tblPr>
      <w:tblGrid>
        <w:gridCol w:w="2605"/>
        <w:gridCol w:w="3420"/>
      </w:tblGrid>
      <w:tr w:rsidR="00F71AAE" w:rsidRPr="00F71AAE" w14:paraId="0E3DA800" w14:textId="77777777" w:rsidTr="003D7EBD">
        <w:trPr>
          <w:trHeight w:val="300"/>
        </w:trPr>
        <w:tc>
          <w:tcPr>
            <w:tcW w:w="2605" w:type="dxa"/>
            <w:noWrap/>
            <w:hideMark/>
          </w:tcPr>
          <w:p w14:paraId="07462FCF" w14:textId="79B8C439" w:rsidR="00F71AAE" w:rsidRPr="00F71AAE" w:rsidRDefault="003D7EBD" w:rsidP="00F71AAE">
            <w:pPr>
              <w:jc w:val="center"/>
              <w:rPr>
                <w:sz w:val="32"/>
                <w:szCs w:val="32"/>
              </w:rPr>
            </w:pPr>
            <w:r>
              <w:rPr>
                <w:sz w:val="32"/>
                <w:szCs w:val="32"/>
              </w:rPr>
              <w:t xml:space="preserve">Neonates </w:t>
            </w:r>
            <w:r w:rsidR="00F71AAE" w:rsidRPr="00F71AAE">
              <w:rPr>
                <w:sz w:val="32"/>
                <w:szCs w:val="32"/>
              </w:rPr>
              <w:t>Age</w:t>
            </w:r>
            <w:r>
              <w:rPr>
                <w:sz w:val="32"/>
                <w:szCs w:val="32"/>
              </w:rPr>
              <w:t xml:space="preserve"> (h)</w:t>
            </w:r>
          </w:p>
        </w:tc>
        <w:tc>
          <w:tcPr>
            <w:tcW w:w="3420" w:type="dxa"/>
            <w:noWrap/>
            <w:hideMark/>
          </w:tcPr>
          <w:p w14:paraId="2AA4C59B" w14:textId="77777777" w:rsidR="00F71AAE" w:rsidRPr="00F71AAE" w:rsidRDefault="00F71AAE" w:rsidP="00F71AAE">
            <w:pPr>
              <w:jc w:val="center"/>
              <w:rPr>
                <w:sz w:val="32"/>
                <w:szCs w:val="32"/>
              </w:rPr>
            </w:pPr>
            <w:r w:rsidRPr="00F71AAE">
              <w:rPr>
                <w:sz w:val="32"/>
                <w:szCs w:val="32"/>
              </w:rPr>
              <w:t>Procalcitonin (ng/mL)</w:t>
            </w:r>
          </w:p>
        </w:tc>
      </w:tr>
      <w:tr w:rsidR="00F71AAE" w:rsidRPr="00F71AAE" w14:paraId="2A0D0D20" w14:textId="77777777" w:rsidTr="003D7EBD">
        <w:trPr>
          <w:trHeight w:val="300"/>
        </w:trPr>
        <w:tc>
          <w:tcPr>
            <w:tcW w:w="2605" w:type="dxa"/>
            <w:noWrap/>
            <w:hideMark/>
          </w:tcPr>
          <w:p w14:paraId="6E62AF8F" w14:textId="77777777" w:rsidR="00F71AAE" w:rsidRPr="00F71AAE" w:rsidRDefault="00F71AAE" w:rsidP="00F71AAE">
            <w:pPr>
              <w:jc w:val="center"/>
              <w:rPr>
                <w:sz w:val="32"/>
                <w:szCs w:val="32"/>
              </w:rPr>
            </w:pPr>
            <w:r w:rsidRPr="00F71AAE">
              <w:rPr>
                <w:sz w:val="32"/>
                <w:szCs w:val="32"/>
              </w:rPr>
              <w:t>0 - 6 h</w:t>
            </w:r>
          </w:p>
        </w:tc>
        <w:tc>
          <w:tcPr>
            <w:tcW w:w="3420" w:type="dxa"/>
            <w:noWrap/>
            <w:hideMark/>
          </w:tcPr>
          <w:p w14:paraId="5AF5FD8E" w14:textId="77777777" w:rsidR="00F71AAE" w:rsidRPr="00F71AAE" w:rsidRDefault="00F71AAE" w:rsidP="00F71AAE">
            <w:pPr>
              <w:jc w:val="center"/>
              <w:rPr>
                <w:sz w:val="32"/>
                <w:szCs w:val="32"/>
              </w:rPr>
            </w:pPr>
            <w:r w:rsidRPr="00F71AAE">
              <w:rPr>
                <w:sz w:val="32"/>
                <w:szCs w:val="32"/>
              </w:rPr>
              <w:t>≤2</w:t>
            </w:r>
          </w:p>
        </w:tc>
      </w:tr>
      <w:tr w:rsidR="00F71AAE" w:rsidRPr="00F71AAE" w14:paraId="0325DF08" w14:textId="77777777" w:rsidTr="003D7EBD">
        <w:trPr>
          <w:trHeight w:val="300"/>
        </w:trPr>
        <w:tc>
          <w:tcPr>
            <w:tcW w:w="2605" w:type="dxa"/>
            <w:noWrap/>
            <w:hideMark/>
          </w:tcPr>
          <w:p w14:paraId="51BD449D" w14:textId="77777777" w:rsidR="00F71AAE" w:rsidRPr="00F71AAE" w:rsidRDefault="00F71AAE" w:rsidP="00F71AAE">
            <w:pPr>
              <w:jc w:val="center"/>
              <w:rPr>
                <w:sz w:val="32"/>
                <w:szCs w:val="32"/>
              </w:rPr>
            </w:pPr>
            <w:r w:rsidRPr="00F71AAE">
              <w:rPr>
                <w:sz w:val="32"/>
                <w:szCs w:val="32"/>
              </w:rPr>
              <w:t>6 - 12 h</w:t>
            </w:r>
          </w:p>
        </w:tc>
        <w:tc>
          <w:tcPr>
            <w:tcW w:w="3420" w:type="dxa"/>
            <w:noWrap/>
            <w:hideMark/>
          </w:tcPr>
          <w:p w14:paraId="64FE1985" w14:textId="77777777" w:rsidR="00F71AAE" w:rsidRPr="00F71AAE" w:rsidRDefault="00F71AAE" w:rsidP="00F71AAE">
            <w:pPr>
              <w:jc w:val="center"/>
              <w:rPr>
                <w:sz w:val="32"/>
                <w:szCs w:val="32"/>
              </w:rPr>
            </w:pPr>
            <w:r w:rsidRPr="00F71AAE">
              <w:rPr>
                <w:sz w:val="32"/>
                <w:szCs w:val="32"/>
              </w:rPr>
              <w:t>≤8</w:t>
            </w:r>
          </w:p>
        </w:tc>
      </w:tr>
      <w:tr w:rsidR="00F71AAE" w:rsidRPr="00F71AAE" w14:paraId="751DB973" w14:textId="77777777" w:rsidTr="003D7EBD">
        <w:trPr>
          <w:trHeight w:val="300"/>
        </w:trPr>
        <w:tc>
          <w:tcPr>
            <w:tcW w:w="2605" w:type="dxa"/>
            <w:noWrap/>
            <w:hideMark/>
          </w:tcPr>
          <w:p w14:paraId="5EE9F5F8" w14:textId="77777777" w:rsidR="00F71AAE" w:rsidRPr="00F71AAE" w:rsidRDefault="00F71AAE" w:rsidP="00F71AAE">
            <w:pPr>
              <w:jc w:val="center"/>
              <w:rPr>
                <w:sz w:val="32"/>
                <w:szCs w:val="32"/>
              </w:rPr>
            </w:pPr>
            <w:r w:rsidRPr="00F71AAE">
              <w:rPr>
                <w:sz w:val="32"/>
                <w:szCs w:val="32"/>
              </w:rPr>
              <w:t>12 - 18 h</w:t>
            </w:r>
          </w:p>
        </w:tc>
        <w:tc>
          <w:tcPr>
            <w:tcW w:w="3420" w:type="dxa"/>
            <w:noWrap/>
            <w:hideMark/>
          </w:tcPr>
          <w:p w14:paraId="508E108C" w14:textId="77777777" w:rsidR="00F71AAE" w:rsidRPr="00F71AAE" w:rsidRDefault="00F71AAE" w:rsidP="00F71AAE">
            <w:pPr>
              <w:jc w:val="center"/>
              <w:rPr>
                <w:sz w:val="32"/>
                <w:szCs w:val="32"/>
              </w:rPr>
            </w:pPr>
            <w:r w:rsidRPr="00F71AAE">
              <w:rPr>
                <w:sz w:val="32"/>
                <w:szCs w:val="32"/>
              </w:rPr>
              <w:t>≤15</w:t>
            </w:r>
          </w:p>
        </w:tc>
      </w:tr>
      <w:tr w:rsidR="00F71AAE" w:rsidRPr="00F71AAE" w14:paraId="7D8BF321" w14:textId="77777777" w:rsidTr="003D7EBD">
        <w:trPr>
          <w:trHeight w:val="300"/>
        </w:trPr>
        <w:tc>
          <w:tcPr>
            <w:tcW w:w="2605" w:type="dxa"/>
            <w:noWrap/>
            <w:hideMark/>
          </w:tcPr>
          <w:p w14:paraId="106074E1" w14:textId="77777777" w:rsidR="00F71AAE" w:rsidRPr="00F71AAE" w:rsidRDefault="00F71AAE" w:rsidP="00F71AAE">
            <w:pPr>
              <w:jc w:val="center"/>
              <w:rPr>
                <w:sz w:val="32"/>
                <w:szCs w:val="32"/>
              </w:rPr>
            </w:pPr>
            <w:r w:rsidRPr="00F71AAE">
              <w:rPr>
                <w:sz w:val="32"/>
                <w:szCs w:val="32"/>
              </w:rPr>
              <w:t>18 - 30 h</w:t>
            </w:r>
          </w:p>
        </w:tc>
        <w:tc>
          <w:tcPr>
            <w:tcW w:w="3420" w:type="dxa"/>
            <w:noWrap/>
            <w:hideMark/>
          </w:tcPr>
          <w:p w14:paraId="5F709834" w14:textId="77777777" w:rsidR="00F71AAE" w:rsidRPr="00F71AAE" w:rsidRDefault="00F71AAE" w:rsidP="00F71AAE">
            <w:pPr>
              <w:jc w:val="center"/>
              <w:rPr>
                <w:sz w:val="32"/>
                <w:szCs w:val="32"/>
              </w:rPr>
            </w:pPr>
            <w:r w:rsidRPr="00F71AAE">
              <w:rPr>
                <w:sz w:val="32"/>
                <w:szCs w:val="32"/>
              </w:rPr>
              <w:t>≤21</w:t>
            </w:r>
          </w:p>
        </w:tc>
      </w:tr>
      <w:tr w:rsidR="00F71AAE" w:rsidRPr="00F71AAE" w14:paraId="1AA02FD4" w14:textId="77777777" w:rsidTr="003D7EBD">
        <w:trPr>
          <w:trHeight w:val="300"/>
        </w:trPr>
        <w:tc>
          <w:tcPr>
            <w:tcW w:w="2605" w:type="dxa"/>
            <w:noWrap/>
            <w:hideMark/>
          </w:tcPr>
          <w:p w14:paraId="7CFB3CEF" w14:textId="77777777" w:rsidR="00F71AAE" w:rsidRPr="00F71AAE" w:rsidRDefault="00F71AAE" w:rsidP="00F71AAE">
            <w:pPr>
              <w:jc w:val="center"/>
              <w:rPr>
                <w:sz w:val="32"/>
                <w:szCs w:val="32"/>
              </w:rPr>
            </w:pPr>
            <w:r w:rsidRPr="00F71AAE">
              <w:rPr>
                <w:sz w:val="32"/>
                <w:szCs w:val="32"/>
              </w:rPr>
              <w:t>30 - 36 h</w:t>
            </w:r>
          </w:p>
        </w:tc>
        <w:tc>
          <w:tcPr>
            <w:tcW w:w="3420" w:type="dxa"/>
            <w:noWrap/>
            <w:hideMark/>
          </w:tcPr>
          <w:p w14:paraId="4D5D9815" w14:textId="77777777" w:rsidR="00F71AAE" w:rsidRPr="00F71AAE" w:rsidRDefault="00F71AAE" w:rsidP="00F71AAE">
            <w:pPr>
              <w:jc w:val="center"/>
              <w:rPr>
                <w:sz w:val="32"/>
                <w:szCs w:val="32"/>
              </w:rPr>
            </w:pPr>
            <w:r w:rsidRPr="00F71AAE">
              <w:rPr>
                <w:sz w:val="32"/>
                <w:szCs w:val="32"/>
              </w:rPr>
              <w:t>≤15</w:t>
            </w:r>
          </w:p>
        </w:tc>
      </w:tr>
      <w:tr w:rsidR="00F71AAE" w:rsidRPr="00F71AAE" w14:paraId="0E241C44" w14:textId="77777777" w:rsidTr="003D7EBD">
        <w:trPr>
          <w:trHeight w:val="300"/>
        </w:trPr>
        <w:tc>
          <w:tcPr>
            <w:tcW w:w="2605" w:type="dxa"/>
            <w:noWrap/>
            <w:hideMark/>
          </w:tcPr>
          <w:p w14:paraId="0E579576" w14:textId="77777777" w:rsidR="00F71AAE" w:rsidRPr="00F71AAE" w:rsidRDefault="00F71AAE" w:rsidP="00F71AAE">
            <w:pPr>
              <w:jc w:val="center"/>
              <w:rPr>
                <w:sz w:val="32"/>
                <w:szCs w:val="32"/>
              </w:rPr>
            </w:pPr>
            <w:r w:rsidRPr="00F71AAE">
              <w:rPr>
                <w:sz w:val="32"/>
                <w:szCs w:val="32"/>
              </w:rPr>
              <w:t>36 - 42 h</w:t>
            </w:r>
          </w:p>
        </w:tc>
        <w:tc>
          <w:tcPr>
            <w:tcW w:w="3420" w:type="dxa"/>
            <w:noWrap/>
            <w:hideMark/>
          </w:tcPr>
          <w:p w14:paraId="510D813F" w14:textId="77777777" w:rsidR="00F71AAE" w:rsidRPr="00F71AAE" w:rsidRDefault="00F71AAE" w:rsidP="00F71AAE">
            <w:pPr>
              <w:jc w:val="center"/>
              <w:rPr>
                <w:sz w:val="32"/>
                <w:szCs w:val="32"/>
              </w:rPr>
            </w:pPr>
            <w:r w:rsidRPr="00F71AAE">
              <w:rPr>
                <w:sz w:val="32"/>
                <w:szCs w:val="32"/>
              </w:rPr>
              <w:t>≤8</w:t>
            </w:r>
          </w:p>
        </w:tc>
      </w:tr>
      <w:tr w:rsidR="00F71AAE" w:rsidRPr="00F71AAE" w14:paraId="599D6335" w14:textId="77777777" w:rsidTr="003D7EBD">
        <w:trPr>
          <w:trHeight w:val="300"/>
        </w:trPr>
        <w:tc>
          <w:tcPr>
            <w:tcW w:w="2605" w:type="dxa"/>
            <w:noWrap/>
            <w:hideMark/>
          </w:tcPr>
          <w:p w14:paraId="1A5D1008" w14:textId="77777777" w:rsidR="00F71AAE" w:rsidRPr="00F71AAE" w:rsidRDefault="00F71AAE" w:rsidP="00F71AAE">
            <w:pPr>
              <w:jc w:val="center"/>
              <w:rPr>
                <w:sz w:val="32"/>
                <w:szCs w:val="32"/>
              </w:rPr>
            </w:pPr>
            <w:r w:rsidRPr="00F71AAE">
              <w:rPr>
                <w:sz w:val="32"/>
                <w:szCs w:val="32"/>
              </w:rPr>
              <w:t>42 - 48 h</w:t>
            </w:r>
          </w:p>
        </w:tc>
        <w:tc>
          <w:tcPr>
            <w:tcW w:w="3420" w:type="dxa"/>
            <w:noWrap/>
            <w:hideMark/>
          </w:tcPr>
          <w:p w14:paraId="7F3CC6A3" w14:textId="77777777" w:rsidR="00F71AAE" w:rsidRPr="00F71AAE" w:rsidRDefault="00F71AAE" w:rsidP="00F71AAE">
            <w:pPr>
              <w:jc w:val="center"/>
              <w:rPr>
                <w:sz w:val="32"/>
                <w:szCs w:val="32"/>
              </w:rPr>
            </w:pPr>
            <w:r w:rsidRPr="00F71AAE">
              <w:rPr>
                <w:sz w:val="32"/>
                <w:szCs w:val="32"/>
              </w:rPr>
              <w:t>≤2</w:t>
            </w:r>
          </w:p>
        </w:tc>
      </w:tr>
      <w:tr w:rsidR="00F71AAE" w:rsidRPr="00F71AAE" w14:paraId="28239BAC" w14:textId="77777777" w:rsidTr="003D7EBD">
        <w:trPr>
          <w:trHeight w:val="300"/>
        </w:trPr>
        <w:tc>
          <w:tcPr>
            <w:tcW w:w="2605" w:type="dxa"/>
            <w:noWrap/>
            <w:hideMark/>
          </w:tcPr>
          <w:p w14:paraId="05F3DC2C" w14:textId="77777777" w:rsidR="00F71AAE" w:rsidRPr="00F71AAE" w:rsidRDefault="00F71AAE" w:rsidP="00F71AAE">
            <w:pPr>
              <w:jc w:val="center"/>
              <w:rPr>
                <w:sz w:val="32"/>
                <w:szCs w:val="32"/>
              </w:rPr>
            </w:pPr>
            <w:r w:rsidRPr="00F71AAE">
              <w:rPr>
                <w:sz w:val="32"/>
                <w:szCs w:val="32"/>
              </w:rPr>
              <w:t>&lt;48 - &lt;72 h</w:t>
            </w:r>
          </w:p>
        </w:tc>
        <w:tc>
          <w:tcPr>
            <w:tcW w:w="3420" w:type="dxa"/>
            <w:noWrap/>
            <w:hideMark/>
          </w:tcPr>
          <w:p w14:paraId="77523762" w14:textId="77777777" w:rsidR="00F71AAE" w:rsidRPr="00F71AAE" w:rsidRDefault="00F71AAE" w:rsidP="00F71AAE">
            <w:pPr>
              <w:jc w:val="center"/>
              <w:rPr>
                <w:sz w:val="32"/>
                <w:szCs w:val="32"/>
              </w:rPr>
            </w:pPr>
            <w:r w:rsidRPr="00F71AAE">
              <w:rPr>
                <w:sz w:val="32"/>
                <w:szCs w:val="32"/>
              </w:rPr>
              <w:t>≤0.15</w:t>
            </w:r>
          </w:p>
        </w:tc>
      </w:tr>
      <w:tr w:rsidR="00F71AAE" w:rsidRPr="00F71AAE" w14:paraId="4029A28E" w14:textId="77777777" w:rsidTr="003D7EBD">
        <w:trPr>
          <w:trHeight w:val="300"/>
        </w:trPr>
        <w:tc>
          <w:tcPr>
            <w:tcW w:w="2605" w:type="dxa"/>
            <w:noWrap/>
            <w:hideMark/>
          </w:tcPr>
          <w:p w14:paraId="7917CCB4" w14:textId="77777777" w:rsidR="00F71AAE" w:rsidRPr="00F71AAE" w:rsidRDefault="00F71AAE" w:rsidP="00F71AAE">
            <w:pPr>
              <w:jc w:val="center"/>
              <w:rPr>
                <w:sz w:val="32"/>
                <w:szCs w:val="32"/>
              </w:rPr>
            </w:pPr>
            <w:r w:rsidRPr="00F71AAE">
              <w:rPr>
                <w:sz w:val="32"/>
                <w:szCs w:val="32"/>
              </w:rPr>
              <w:t>≥72 h</w:t>
            </w:r>
          </w:p>
        </w:tc>
        <w:tc>
          <w:tcPr>
            <w:tcW w:w="3420" w:type="dxa"/>
            <w:noWrap/>
            <w:hideMark/>
          </w:tcPr>
          <w:p w14:paraId="21151093" w14:textId="77777777" w:rsidR="00F71AAE" w:rsidRPr="00F71AAE" w:rsidRDefault="00F71AAE" w:rsidP="00F71AAE">
            <w:pPr>
              <w:jc w:val="center"/>
              <w:rPr>
                <w:sz w:val="32"/>
                <w:szCs w:val="32"/>
              </w:rPr>
            </w:pPr>
            <w:r w:rsidRPr="00F71AAE">
              <w:rPr>
                <w:sz w:val="32"/>
                <w:szCs w:val="32"/>
              </w:rPr>
              <w:t>≤0.1</w:t>
            </w:r>
          </w:p>
        </w:tc>
      </w:tr>
    </w:tbl>
    <w:p w14:paraId="67CDBAC9" w14:textId="77777777" w:rsidR="00710D1F" w:rsidRDefault="00710D1F" w:rsidP="0023705A">
      <w:pPr>
        <w:rPr>
          <w:sz w:val="32"/>
          <w:szCs w:val="32"/>
        </w:rPr>
      </w:pPr>
    </w:p>
    <w:p w14:paraId="0639DDE2" w14:textId="77777777" w:rsidR="00F71AAE" w:rsidRDefault="0023705A" w:rsidP="0023705A">
      <w:pPr>
        <w:rPr>
          <w:sz w:val="32"/>
          <w:szCs w:val="32"/>
        </w:rPr>
      </w:pPr>
      <w:r w:rsidRPr="00855631">
        <w:rPr>
          <w:sz w:val="32"/>
          <w:szCs w:val="32"/>
        </w:rPr>
        <w:t xml:space="preserve">Comments: </w:t>
      </w:r>
    </w:p>
    <w:p w14:paraId="695007DE" w14:textId="1E361510" w:rsidR="00E73811" w:rsidRDefault="00E73811" w:rsidP="0023705A">
      <w:pPr>
        <w:rPr>
          <w:sz w:val="32"/>
          <w:szCs w:val="32"/>
        </w:rPr>
      </w:pPr>
      <w:r w:rsidRPr="00E73811">
        <w:rPr>
          <w:sz w:val="32"/>
          <w:szCs w:val="32"/>
        </w:rPr>
        <w:t>PCT levels on newborns suffering from early sepsis are significantly higher than those of noninfected newborns when reference ranges by hours of age are used</w:t>
      </w:r>
      <w:r>
        <w:rPr>
          <w:sz w:val="32"/>
          <w:szCs w:val="32"/>
        </w:rPr>
        <w:t xml:space="preserve"> </w:t>
      </w:r>
      <w:r w:rsidRPr="00E73811">
        <w:rPr>
          <w:sz w:val="32"/>
          <w:szCs w:val="32"/>
        </w:rPr>
        <w:t>(2)</w:t>
      </w:r>
      <w:r>
        <w:rPr>
          <w:sz w:val="32"/>
          <w:szCs w:val="32"/>
        </w:rPr>
        <w:t xml:space="preserve">. </w:t>
      </w:r>
      <w:r w:rsidRPr="00E73811">
        <w:rPr>
          <w:sz w:val="32"/>
          <w:szCs w:val="32"/>
        </w:rPr>
        <w:t>Adult levels should apply at 72 hours or more after birth.</w:t>
      </w:r>
    </w:p>
    <w:p w14:paraId="4F4F7297" w14:textId="77777777" w:rsidR="00710D1F" w:rsidRDefault="00710D1F" w:rsidP="0023705A">
      <w:pPr>
        <w:rPr>
          <w:sz w:val="32"/>
          <w:szCs w:val="32"/>
        </w:rPr>
      </w:pPr>
      <w:r w:rsidRPr="00710D1F">
        <w:rPr>
          <w:sz w:val="32"/>
          <w:szCs w:val="32"/>
        </w:rPr>
        <w:t xml:space="preserve">PCT concentrations rise rapidly (within 6-12 hour) after an infectious bacterial insult with systemic consequences. </w:t>
      </w:r>
    </w:p>
    <w:p w14:paraId="6C91BD96" w14:textId="2C2F25CB" w:rsidR="002F7987" w:rsidRDefault="002F7987" w:rsidP="0023705A">
      <w:pPr>
        <w:rPr>
          <w:sz w:val="32"/>
          <w:szCs w:val="32"/>
        </w:rPr>
      </w:pPr>
      <w:r w:rsidRPr="002F7987">
        <w:rPr>
          <w:sz w:val="32"/>
          <w:szCs w:val="32"/>
        </w:rPr>
        <w:t>Procalcitonin levels &gt;10ng/ml are almost exclusively due to severe bacterial sepsis or septic shock.</w:t>
      </w:r>
    </w:p>
    <w:p w14:paraId="3715C24D" w14:textId="77777777" w:rsidR="00710D1F" w:rsidRDefault="00710D1F" w:rsidP="0023705A">
      <w:pPr>
        <w:rPr>
          <w:sz w:val="32"/>
          <w:szCs w:val="32"/>
        </w:rPr>
      </w:pPr>
      <w:r w:rsidRPr="00710D1F">
        <w:rPr>
          <w:sz w:val="32"/>
          <w:szCs w:val="32"/>
        </w:rPr>
        <w:lastRenderedPageBreak/>
        <w:t xml:space="preserve">PCT secretion parallels the severity of the inflammatory insult, with higher concentrations associated with more severe disease and declining concentrations with resolution of illness. </w:t>
      </w:r>
    </w:p>
    <w:p w14:paraId="59F7AD27" w14:textId="1E209C39" w:rsidR="00710D1F" w:rsidRDefault="00710D1F" w:rsidP="0023705A">
      <w:pPr>
        <w:rPr>
          <w:sz w:val="32"/>
          <w:szCs w:val="32"/>
        </w:rPr>
      </w:pPr>
      <w:r w:rsidRPr="00710D1F">
        <w:rPr>
          <w:sz w:val="32"/>
          <w:szCs w:val="32"/>
        </w:rPr>
        <w:t>In the absence of an ongoing stimulus, PCT is eliminated with a half-life of 24 hours.</w:t>
      </w:r>
    </w:p>
    <w:p w14:paraId="63C66A74" w14:textId="6FE88F4D" w:rsidR="00F71AAE" w:rsidRDefault="00F71AAE" w:rsidP="0023705A">
      <w:pPr>
        <w:rPr>
          <w:sz w:val="32"/>
          <w:szCs w:val="32"/>
        </w:rPr>
      </w:pPr>
      <w:r w:rsidRPr="00F71AAE">
        <w:rPr>
          <w:sz w:val="32"/>
          <w:szCs w:val="32"/>
        </w:rPr>
        <w:t>Increased PCT levels may not always be related to systemic infection.</w:t>
      </w:r>
    </w:p>
    <w:p w14:paraId="4874A079" w14:textId="79575A7E" w:rsidR="00710D1F" w:rsidRDefault="00710D1F" w:rsidP="0023705A">
      <w:pPr>
        <w:rPr>
          <w:sz w:val="32"/>
          <w:szCs w:val="32"/>
        </w:rPr>
      </w:pPr>
      <w:r w:rsidRPr="00710D1F">
        <w:rPr>
          <w:sz w:val="32"/>
          <w:szCs w:val="32"/>
        </w:rPr>
        <w:t>Rheumatoid factor (RF) in human serum can react with reagent immunoglobulins, interfering with in vitro immunoassays.</w:t>
      </w:r>
    </w:p>
    <w:tbl>
      <w:tblPr>
        <w:tblStyle w:val="TableGrid"/>
        <w:tblW w:w="9360" w:type="dxa"/>
        <w:tblLook w:val="04A0" w:firstRow="1" w:lastRow="0" w:firstColumn="1" w:lastColumn="0" w:noHBand="0" w:noVBand="1"/>
      </w:tblPr>
      <w:tblGrid>
        <w:gridCol w:w="3138"/>
        <w:gridCol w:w="6222"/>
      </w:tblGrid>
      <w:tr w:rsidR="00F71AAE" w:rsidRPr="00F71AAE" w14:paraId="2EE29E5A" w14:textId="77777777" w:rsidTr="00F71AAE">
        <w:trPr>
          <w:trHeight w:val="300"/>
        </w:trPr>
        <w:tc>
          <w:tcPr>
            <w:tcW w:w="9360" w:type="dxa"/>
            <w:gridSpan w:val="2"/>
            <w:noWrap/>
            <w:hideMark/>
          </w:tcPr>
          <w:p w14:paraId="1BE15766" w14:textId="77777777" w:rsidR="00F71AAE" w:rsidRPr="00F71AAE" w:rsidRDefault="00F71AAE" w:rsidP="00F71AAE">
            <w:pPr>
              <w:rPr>
                <w:rFonts w:ascii="Calibri" w:eastAsia="Times New Roman" w:hAnsi="Calibri" w:cs="Calibri"/>
                <w:b/>
                <w:bCs/>
                <w:color w:val="000000"/>
                <w:kern w:val="0"/>
                <w:lang w:bidi="ta-IN"/>
                <w14:ligatures w14:val="none"/>
              </w:rPr>
            </w:pPr>
            <w:r w:rsidRPr="00F71AAE">
              <w:rPr>
                <w:rFonts w:ascii="Calibri" w:eastAsia="Times New Roman" w:hAnsi="Calibri" w:cs="Calibri"/>
                <w:b/>
                <w:bCs/>
                <w:color w:val="000000"/>
                <w:kern w:val="0"/>
                <w:lang w:bidi="ta-IN"/>
                <w14:ligatures w14:val="none"/>
              </w:rPr>
              <w:t>Risk assessment for progression to severe sepsis and septic shock</w:t>
            </w:r>
          </w:p>
        </w:tc>
      </w:tr>
      <w:tr w:rsidR="00F71AAE" w:rsidRPr="00F71AAE" w14:paraId="3834F3B5" w14:textId="77777777" w:rsidTr="00F71AAE">
        <w:trPr>
          <w:trHeight w:val="300"/>
        </w:trPr>
        <w:tc>
          <w:tcPr>
            <w:tcW w:w="3138" w:type="dxa"/>
            <w:noWrap/>
            <w:hideMark/>
          </w:tcPr>
          <w:p w14:paraId="46E1A24F" w14:textId="77777777" w:rsidR="00F71AAE" w:rsidRPr="00F71AAE" w:rsidRDefault="00F71AAE" w:rsidP="00F71AAE">
            <w:pPr>
              <w:rPr>
                <w:rFonts w:ascii="Calibri" w:eastAsia="Times New Roman" w:hAnsi="Calibri" w:cs="Calibri"/>
                <w:color w:val="000000"/>
                <w:kern w:val="0"/>
                <w:lang w:bidi="ta-IN"/>
                <w14:ligatures w14:val="none"/>
              </w:rPr>
            </w:pPr>
            <w:r w:rsidRPr="00F71AAE">
              <w:rPr>
                <w:rFonts w:ascii="Calibri" w:eastAsia="Times New Roman" w:hAnsi="Calibri" w:cs="Calibri"/>
                <w:color w:val="000000"/>
                <w:kern w:val="0"/>
                <w:lang w:bidi="ta-IN"/>
                <w14:ligatures w14:val="none"/>
              </w:rPr>
              <w:t>PCT Result</w:t>
            </w:r>
          </w:p>
        </w:tc>
        <w:tc>
          <w:tcPr>
            <w:tcW w:w="6222" w:type="dxa"/>
            <w:noWrap/>
            <w:hideMark/>
          </w:tcPr>
          <w:p w14:paraId="591C92B4" w14:textId="77777777" w:rsidR="00F71AAE" w:rsidRPr="00F71AAE" w:rsidRDefault="00F71AAE" w:rsidP="00F71AAE">
            <w:pPr>
              <w:rPr>
                <w:rFonts w:ascii="Calibri" w:eastAsia="Times New Roman" w:hAnsi="Calibri" w:cs="Calibri"/>
                <w:color w:val="000000"/>
                <w:kern w:val="0"/>
                <w:lang w:bidi="ta-IN"/>
                <w14:ligatures w14:val="none"/>
              </w:rPr>
            </w:pPr>
            <w:r w:rsidRPr="00F71AAE">
              <w:rPr>
                <w:rFonts w:ascii="Calibri" w:eastAsia="Times New Roman" w:hAnsi="Calibri" w:cs="Calibri"/>
                <w:color w:val="000000"/>
                <w:kern w:val="0"/>
                <w:lang w:bidi="ta-IN"/>
                <w14:ligatures w14:val="none"/>
              </w:rPr>
              <w:t>Interpretation</w:t>
            </w:r>
          </w:p>
        </w:tc>
      </w:tr>
      <w:tr w:rsidR="00F71AAE" w:rsidRPr="00F71AAE" w14:paraId="351AA295" w14:textId="77777777" w:rsidTr="00F71AAE">
        <w:trPr>
          <w:trHeight w:val="300"/>
        </w:trPr>
        <w:tc>
          <w:tcPr>
            <w:tcW w:w="3138" w:type="dxa"/>
            <w:noWrap/>
            <w:hideMark/>
          </w:tcPr>
          <w:p w14:paraId="62764B4E" w14:textId="77777777" w:rsidR="00F71AAE" w:rsidRPr="00F71AAE" w:rsidRDefault="00F71AAE" w:rsidP="00F71AAE">
            <w:pPr>
              <w:rPr>
                <w:rFonts w:ascii="Calibri" w:eastAsia="Times New Roman" w:hAnsi="Calibri" w:cs="Calibri"/>
                <w:color w:val="000000"/>
                <w:kern w:val="0"/>
                <w:lang w:bidi="ta-IN"/>
                <w14:ligatures w14:val="none"/>
              </w:rPr>
            </w:pPr>
            <w:r w:rsidRPr="00F71AAE">
              <w:rPr>
                <w:rFonts w:ascii="Calibri" w:eastAsia="Times New Roman" w:hAnsi="Calibri" w:cs="Calibri"/>
                <w:color w:val="000000"/>
                <w:kern w:val="0"/>
                <w:lang w:bidi="ta-IN"/>
                <w14:ligatures w14:val="none"/>
              </w:rPr>
              <w:t>&gt; 2.0 ng/mL</w:t>
            </w:r>
          </w:p>
        </w:tc>
        <w:tc>
          <w:tcPr>
            <w:tcW w:w="6222" w:type="dxa"/>
            <w:noWrap/>
            <w:hideMark/>
          </w:tcPr>
          <w:p w14:paraId="6F33E665" w14:textId="77777777" w:rsidR="00F71AAE" w:rsidRPr="00F71AAE" w:rsidRDefault="00F71AAE" w:rsidP="00F71AAE">
            <w:pPr>
              <w:rPr>
                <w:rFonts w:ascii="Calibri" w:eastAsia="Times New Roman" w:hAnsi="Calibri" w:cs="Calibri"/>
                <w:color w:val="000000"/>
                <w:kern w:val="0"/>
                <w:lang w:bidi="ta-IN"/>
                <w14:ligatures w14:val="none"/>
              </w:rPr>
            </w:pPr>
            <w:r w:rsidRPr="00F71AAE">
              <w:rPr>
                <w:rFonts w:ascii="Calibri" w:eastAsia="Times New Roman" w:hAnsi="Calibri" w:cs="Calibri"/>
                <w:color w:val="000000"/>
                <w:kern w:val="0"/>
                <w:lang w:bidi="ta-IN"/>
                <w14:ligatures w14:val="none"/>
              </w:rPr>
              <w:t>High risk for progression to severe sepsis and/or septic shock</w:t>
            </w:r>
          </w:p>
        </w:tc>
      </w:tr>
      <w:tr w:rsidR="00F71AAE" w:rsidRPr="00F71AAE" w14:paraId="4CB4C158" w14:textId="77777777" w:rsidTr="00F71AAE">
        <w:trPr>
          <w:trHeight w:val="300"/>
        </w:trPr>
        <w:tc>
          <w:tcPr>
            <w:tcW w:w="3138" w:type="dxa"/>
            <w:noWrap/>
            <w:hideMark/>
          </w:tcPr>
          <w:p w14:paraId="59DC0B90" w14:textId="77777777" w:rsidR="00F71AAE" w:rsidRPr="00F71AAE" w:rsidRDefault="00F71AAE" w:rsidP="00F71AAE">
            <w:pPr>
              <w:rPr>
                <w:rFonts w:ascii="Calibri" w:eastAsia="Times New Roman" w:hAnsi="Calibri" w:cs="Calibri"/>
                <w:color w:val="000000"/>
                <w:kern w:val="0"/>
                <w:lang w:bidi="ta-IN"/>
                <w14:ligatures w14:val="none"/>
              </w:rPr>
            </w:pPr>
            <w:r w:rsidRPr="00F71AAE">
              <w:rPr>
                <w:rFonts w:ascii="Calibri" w:eastAsia="Times New Roman" w:hAnsi="Calibri" w:cs="Calibri"/>
                <w:color w:val="000000"/>
                <w:kern w:val="0"/>
                <w:lang w:bidi="ta-IN"/>
                <w14:ligatures w14:val="none"/>
              </w:rPr>
              <w:t>&lt; 0.5 ng/mL</w:t>
            </w:r>
          </w:p>
        </w:tc>
        <w:tc>
          <w:tcPr>
            <w:tcW w:w="6222" w:type="dxa"/>
            <w:noWrap/>
            <w:hideMark/>
          </w:tcPr>
          <w:p w14:paraId="69B4808E" w14:textId="77777777" w:rsidR="00F71AAE" w:rsidRPr="00F71AAE" w:rsidRDefault="00F71AAE" w:rsidP="00F71AAE">
            <w:pPr>
              <w:rPr>
                <w:rFonts w:ascii="Calibri" w:eastAsia="Times New Roman" w:hAnsi="Calibri" w:cs="Calibri"/>
                <w:color w:val="000000"/>
                <w:kern w:val="0"/>
                <w:lang w:bidi="ta-IN"/>
                <w14:ligatures w14:val="none"/>
              </w:rPr>
            </w:pPr>
            <w:r w:rsidRPr="00F71AAE">
              <w:rPr>
                <w:rFonts w:ascii="Calibri" w:eastAsia="Times New Roman" w:hAnsi="Calibri" w:cs="Calibri"/>
                <w:color w:val="000000"/>
                <w:kern w:val="0"/>
                <w:lang w:bidi="ta-IN"/>
                <w14:ligatures w14:val="none"/>
              </w:rPr>
              <w:t>Low risk for progression to severe sepsis and/or septic shock</w:t>
            </w:r>
          </w:p>
        </w:tc>
      </w:tr>
      <w:tr w:rsidR="00F71AAE" w:rsidRPr="00F71AAE" w14:paraId="10855708" w14:textId="77777777" w:rsidTr="005E0245">
        <w:trPr>
          <w:trHeight w:val="300"/>
        </w:trPr>
        <w:tc>
          <w:tcPr>
            <w:tcW w:w="9360" w:type="dxa"/>
            <w:gridSpan w:val="2"/>
            <w:noWrap/>
            <w:hideMark/>
          </w:tcPr>
          <w:p w14:paraId="19A6011C" w14:textId="77777777" w:rsidR="00F71AAE" w:rsidRPr="00F71AAE" w:rsidRDefault="00F71AAE" w:rsidP="00F71AAE">
            <w:pPr>
              <w:rPr>
                <w:rFonts w:ascii="Times New Roman" w:eastAsia="Times New Roman" w:hAnsi="Times New Roman" w:cs="Times New Roman"/>
                <w:kern w:val="0"/>
                <w:sz w:val="20"/>
                <w:szCs w:val="20"/>
                <w:lang w:bidi="ta-IN"/>
                <w14:ligatures w14:val="none"/>
              </w:rPr>
            </w:pPr>
          </w:p>
        </w:tc>
      </w:tr>
      <w:tr w:rsidR="00F71AAE" w:rsidRPr="00F71AAE" w14:paraId="5354F178" w14:textId="77777777" w:rsidTr="00F71AAE">
        <w:trPr>
          <w:trHeight w:val="300"/>
        </w:trPr>
        <w:tc>
          <w:tcPr>
            <w:tcW w:w="9360" w:type="dxa"/>
            <w:gridSpan w:val="2"/>
            <w:noWrap/>
            <w:hideMark/>
          </w:tcPr>
          <w:p w14:paraId="666888CC" w14:textId="77777777" w:rsidR="00F71AAE" w:rsidRPr="00F71AAE" w:rsidRDefault="00F71AAE" w:rsidP="00F71AAE">
            <w:pPr>
              <w:rPr>
                <w:rFonts w:ascii="Calibri" w:eastAsia="Times New Roman" w:hAnsi="Calibri" w:cs="Calibri"/>
                <w:b/>
                <w:bCs/>
                <w:color w:val="000000"/>
                <w:kern w:val="0"/>
                <w:lang w:bidi="ta-IN"/>
                <w14:ligatures w14:val="none"/>
              </w:rPr>
            </w:pPr>
            <w:r w:rsidRPr="00F71AAE">
              <w:rPr>
                <w:rFonts w:ascii="Calibri" w:eastAsia="Times New Roman" w:hAnsi="Calibri" w:cs="Calibri"/>
                <w:b/>
                <w:bCs/>
                <w:color w:val="000000"/>
                <w:kern w:val="0"/>
                <w:lang w:bidi="ta-IN"/>
                <w14:ligatures w14:val="none"/>
              </w:rPr>
              <w:t>Prediction of cumulative 28-day mortality in patients with severe sepsis and septic shock</w:t>
            </w:r>
          </w:p>
        </w:tc>
      </w:tr>
      <w:tr w:rsidR="00F71AAE" w:rsidRPr="00F71AAE" w14:paraId="7D955696" w14:textId="77777777" w:rsidTr="00F71AAE">
        <w:trPr>
          <w:trHeight w:val="360"/>
        </w:trPr>
        <w:tc>
          <w:tcPr>
            <w:tcW w:w="9360" w:type="dxa"/>
            <w:gridSpan w:val="2"/>
            <w:noWrap/>
            <w:hideMark/>
          </w:tcPr>
          <w:p w14:paraId="7CC06FFE" w14:textId="77777777" w:rsidR="00F71AAE" w:rsidRPr="00F71AAE" w:rsidRDefault="00F71AAE" w:rsidP="00F71AAE">
            <w:pPr>
              <w:rPr>
                <w:rFonts w:ascii="Calibri" w:eastAsia="Times New Roman" w:hAnsi="Calibri" w:cs="Calibri"/>
                <w:color w:val="000000"/>
                <w:kern w:val="0"/>
                <w:lang w:bidi="ta-IN"/>
                <w14:ligatures w14:val="none"/>
              </w:rPr>
            </w:pPr>
            <w:proofErr w:type="spellStart"/>
            <w:r w:rsidRPr="00F71AAE">
              <w:rPr>
                <w:rFonts w:ascii="Calibri" w:eastAsia="Times New Roman" w:hAnsi="Calibri" w:cs="Calibri"/>
                <w:color w:val="000000"/>
                <w:kern w:val="0"/>
                <w:lang w:bidi="ta-IN"/>
                <w14:ligatures w14:val="none"/>
              </w:rPr>
              <w:t>ΔPCT</w:t>
            </w:r>
            <w:r w:rsidRPr="00F71AAE">
              <w:rPr>
                <w:rFonts w:ascii="Calibri" w:eastAsia="Times New Roman" w:hAnsi="Calibri" w:cs="Calibri"/>
                <w:color w:val="000000"/>
                <w:kern w:val="0"/>
                <w:vertAlign w:val="subscript"/>
                <w:lang w:bidi="ta-IN"/>
                <w14:ligatures w14:val="none"/>
              </w:rPr>
              <w:t>mortality</w:t>
            </w:r>
            <w:proofErr w:type="spellEnd"/>
            <w:r w:rsidRPr="00F71AAE">
              <w:rPr>
                <w:rFonts w:ascii="Calibri" w:eastAsia="Times New Roman" w:hAnsi="Calibri" w:cs="Calibri"/>
                <w:color w:val="000000"/>
                <w:kern w:val="0"/>
                <w:lang w:bidi="ta-IN"/>
                <w14:ligatures w14:val="none"/>
              </w:rPr>
              <w:t xml:space="preserve"> (Change in </w:t>
            </w:r>
            <w:proofErr w:type="gramStart"/>
            <w:r w:rsidRPr="00F71AAE">
              <w:rPr>
                <w:rFonts w:ascii="Calibri" w:eastAsia="Times New Roman" w:hAnsi="Calibri" w:cs="Calibri"/>
                <w:color w:val="000000"/>
                <w:kern w:val="0"/>
                <w:lang w:bidi="ta-IN"/>
                <w14:ligatures w14:val="none"/>
              </w:rPr>
              <w:t>PCT(</w:t>
            </w:r>
            <w:proofErr w:type="gramEnd"/>
            <w:r w:rsidRPr="00F71AAE">
              <w:rPr>
                <w:rFonts w:ascii="Calibri" w:eastAsia="Times New Roman" w:hAnsi="Calibri" w:cs="Calibri"/>
                <w:color w:val="000000"/>
                <w:kern w:val="0"/>
                <w:lang w:bidi="ta-IN"/>
                <w14:ligatures w14:val="none"/>
              </w:rPr>
              <w:t>%)) = ((</w:t>
            </w:r>
            <w:proofErr w:type="spellStart"/>
            <w:r w:rsidRPr="00F71AAE">
              <w:rPr>
                <w:rFonts w:ascii="Calibri" w:eastAsia="Times New Roman" w:hAnsi="Calibri" w:cs="Calibri"/>
                <w:color w:val="000000"/>
                <w:kern w:val="0"/>
                <w:lang w:bidi="ta-IN"/>
                <w14:ligatures w14:val="none"/>
              </w:rPr>
              <w:t>PCT</w:t>
            </w:r>
            <w:r w:rsidRPr="00F71AAE">
              <w:rPr>
                <w:rFonts w:ascii="Calibri" w:eastAsia="Times New Roman" w:hAnsi="Calibri" w:cs="Calibri"/>
                <w:color w:val="000000"/>
                <w:kern w:val="0"/>
                <w:vertAlign w:val="subscript"/>
                <w:lang w:bidi="ta-IN"/>
                <w14:ligatures w14:val="none"/>
              </w:rPr>
              <w:t>Day</w:t>
            </w:r>
            <w:proofErr w:type="spellEnd"/>
            <w:r w:rsidRPr="00F71AAE">
              <w:rPr>
                <w:rFonts w:ascii="Calibri" w:eastAsia="Times New Roman" w:hAnsi="Calibri" w:cs="Calibri"/>
                <w:color w:val="000000"/>
                <w:kern w:val="0"/>
                <w:vertAlign w:val="subscript"/>
                <w:lang w:bidi="ta-IN"/>
                <w14:ligatures w14:val="none"/>
              </w:rPr>
              <w:t xml:space="preserve"> 0 (or Day 1)</w:t>
            </w:r>
            <w:r w:rsidRPr="00F71AAE">
              <w:rPr>
                <w:rFonts w:ascii="Calibri" w:eastAsia="Times New Roman" w:hAnsi="Calibri" w:cs="Calibri"/>
                <w:color w:val="000000"/>
                <w:kern w:val="0"/>
                <w:lang w:bidi="ta-IN"/>
                <w14:ligatures w14:val="none"/>
              </w:rPr>
              <w:t xml:space="preserve"> – PCT</w:t>
            </w:r>
            <w:r w:rsidRPr="00F71AAE">
              <w:rPr>
                <w:rFonts w:ascii="Calibri" w:eastAsia="Times New Roman" w:hAnsi="Calibri" w:cs="Calibri"/>
                <w:color w:val="000000"/>
                <w:kern w:val="0"/>
                <w:vertAlign w:val="subscript"/>
                <w:lang w:bidi="ta-IN"/>
                <w14:ligatures w14:val="none"/>
              </w:rPr>
              <w:t>(Day 4)</w:t>
            </w:r>
            <w:r w:rsidRPr="00F71AAE">
              <w:rPr>
                <w:rFonts w:ascii="Calibri" w:eastAsia="Times New Roman" w:hAnsi="Calibri" w:cs="Calibri"/>
                <w:color w:val="000000"/>
                <w:kern w:val="0"/>
                <w:lang w:bidi="ta-IN"/>
                <w14:ligatures w14:val="none"/>
              </w:rPr>
              <w:t xml:space="preserve"> )/</w:t>
            </w:r>
            <w:proofErr w:type="spellStart"/>
            <w:r w:rsidRPr="00F71AAE">
              <w:rPr>
                <w:rFonts w:ascii="Calibri" w:eastAsia="Times New Roman" w:hAnsi="Calibri" w:cs="Calibri"/>
                <w:color w:val="000000"/>
                <w:kern w:val="0"/>
                <w:lang w:bidi="ta-IN"/>
                <w14:ligatures w14:val="none"/>
              </w:rPr>
              <w:t>PCT</w:t>
            </w:r>
            <w:r w:rsidRPr="00F71AAE">
              <w:rPr>
                <w:rFonts w:ascii="Calibri" w:eastAsia="Times New Roman" w:hAnsi="Calibri" w:cs="Calibri"/>
                <w:color w:val="000000"/>
                <w:kern w:val="0"/>
                <w:vertAlign w:val="subscript"/>
                <w:lang w:bidi="ta-IN"/>
                <w14:ligatures w14:val="none"/>
              </w:rPr>
              <w:t>Day</w:t>
            </w:r>
            <w:proofErr w:type="spellEnd"/>
            <w:r w:rsidRPr="00F71AAE">
              <w:rPr>
                <w:rFonts w:ascii="Calibri" w:eastAsia="Times New Roman" w:hAnsi="Calibri" w:cs="Calibri"/>
                <w:color w:val="000000"/>
                <w:kern w:val="0"/>
                <w:vertAlign w:val="subscript"/>
                <w:lang w:bidi="ta-IN"/>
                <w14:ligatures w14:val="none"/>
              </w:rPr>
              <w:t xml:space="preserve"> 0 (or Day 1)</w:t>
            </w:r>
            <w:r w:rsidRPr="00F71AAE">
              <w:rPr>
                <w:rFonts w:ascii="Calibri" w:eastAsia="Times New Roman" w:hAnsi="Calibri" w:cs="Calibri"/>
                <w:color w:val="000000"/>
                <w:kern w:val="0"/>
                <w:lang w:bidi="ta-IN"/>
                <w14:ligatures w14:val="none"/>
              </w:rPr>
              <w:t>)x100</w:t>
            </w:r>
          </w:p>
        </w:tc>
      </w:tr>
      <w:tr w:rsidR="00F71AAE" w:rsidRPr="00F71AAE" w14:paraId="6C60E3DE" w14:textId="77777777" w:rsidTr="00F71AAE">
        <w:trPr>
          <w:trHeight w:val="300"/>
        </w:trPr>
        <w:tc>
          <w:tcPr>
            <w:tcW w:w="3138" w:type="dxa"/>
            <w:noWrap/>
            <w:hideMark/>
          </w:tcPr>
          <w:p w14:paraId="6527A74F" w14:textId="77777777" w:rsidR="00F71AAE" w:rsidRPr="00F71AAE" w:rsidRDefault="00F71AAE" w:rsidP="00F71AAE">
            <w:pPr>
              <w:rPr>
                <w:rFonts w:ascii="Calibri" w:eastAsia="Times New Roman" w:hAnsi="Calibri" w:cs="Calibri"/>
                <w:color w:val="000000"/>
                <w:kern w:val="0"/>
                <w:lang w:bidi="ta-IN"/>
                <w14:ligatures w14:val="none"/>
              </w:rPr>
            </w:pPr>
            <w:r w:rsidRPr="00F71AAE">
              <w:rPr>
                <w:rFonts w:ascii="Calibri" w:eastAsia="Times New Roman" w:hAnsi="Calibri" w:cs="Calibri"/>
                <w:color w:val="000000"/>
                <w:kern w:val="0"/>
                <w:lang w:bidi="ta-IN"/>
                <w14:ligatures w14:val="none"/>
              </w:rPr>
              <w:t>ΔPCT ≤ 80%</w:t>
            </w:r>
          </w:p>
        </w:tc>
        <w:tc>
          <w:tcPr>
            <w:tcW w:w="6222" w:type="dxa"/>
            <w:noWrap/>
            <w:hideMark/>
          </w:tcPr>
          <w:p w14:paraId="3D4A746A" w14:textId="77777777" w:rsidR="00F71AAE" w:rsidRPr="00F71AAE" w:rsidRDefault="00F71AAE" w:rsidP="00F71AAE">
            <w:pPr>
              <w:rPr>
                <w:rFonts w:ascii="Calibri" w:eastAsia="Times New Roman" w:hAnsi="Calibri" w:cs="Calibri"/>
                <w:color w:val="000000"/>
                <w:kern w:val="0"/>
                <w:lang w:bidi="ta-IN"/>
                <w14:ligatures w14:val="none"/>
              </w:rPr>
            </w:pPr>
            <w:r w:rsidRPr="00F71AAE">
              <w:rPr>
                <w:rFonts w:ascii="Calibri" w:eastAsia="Times New Roman" w:hAnsi="Calibri" w:cs="Calibri"/>
                <w:color w:val="000000"/>
                <w:kern w:val="0"/>
                <w:lang w:bidi="ta-IN"/>
                <w14:ligatures w14:val="none"/>
              </w:rPr>
              <w:t>Higher risk for 28-day all-cause mortality of patients diagnosed with severe sepsis or septic shock</w:t>
            </w:r>
          </w:p>
        </w:tc>
      </w:tr>
      <w:tr w:rsidR="00F71AAE" w:rsidRPr="00F71AAE" w14:paraId="53B7BEBD" w14:textId="77777777" w:rsidTr="00F71AAE">
        <w:trPr>
          <w:trHeight w:val="300"/>
        </w:trPr>
        <w:tc>
          <w:tcPr>
            <w:tcW w:w="3138" w:type="dxa"/>
            <w:noWrap/>
            <w:hideMark/>
          </w:tcPr>
          <w:p w14:paraId="5C12A1ED" w14:textId="77777777" w:rsidR="00F71AAE" w:rsidRPr="00F71AAE" w:rsidRDefault="00F71AAE" w:rsidP="00F71AAE">
            <w:pPr>
              <w:rPr>
                <w:rFonts w:ascii="Calibri" w:eastAsia="Times New Roman" w:hAnsi="Calibri" w:cs="Calibri"/>
                <w:color w:val="000000"/>
                <w:kern w:val="0"/>
                <w:lang w:bidi="ta-IN"/>
                <w14:ligatures w14:val="none"/>
              </w:rPr>
            </w:pPr>
            <w:r w:rsidRPr="00F71AAE">
              <w:rPr>
                <w:rFonts w:ascii="Calibri" w:eastAsia="Times New Roman" w:hAnsi="Calibri" w:cs="Calibri"/>
                <w:color w:val="000000"/>
                <w:kern w:val="0"/>
                <w:lang w:bidi="ta-IN"/>
                <w14:ligatures w14:val="none"/>
              </w:rPr>
              <w:t>ΔPCT &gt; 80%</w:t>
            </w:r>
          </w:p>
        </w:tc>
        <w:tc>
          <w:tcPr>
            <w:tcW w:w="6222" w:type="dxa"/>
            <w:noWrap/>
            <w:hideMark/>
          </w:tcPr>
          <w:p w14:paraId="51DAD8B0" w14:textId="77777777" w:rsidR="00F71AAE" w:rsidRPr="00F71AAE" w:rsidRDefault="00F71AAE" w:rsidP="00F71AAE">
            <w:pPr>
              <w:rPr>
                <w:rFonts w:ascii="Calibri" w:eastAsia="Times New Roman" w:hAnsi="Calibri" w:cs="Calibri"/>
                <w:color w:val="000000"/>
                <w:kern w:val="0"/>
                <w:lang w:bidi="ta-IN"/>
                <w14:ligatures w14:val="none"/>
              </w:rPr>
            </w:pPr>
            <w:r w:rsidRPr="00F71AAE">
              <w:rPr>
                <w:rFonts w:ascii="Calibri" w:eastAsia="Times New Roman" w:hAnsi="Calibri" w:cs="Calibri"/>
                <w:color w:val="000000"/>
                <w:kern w:val="0"/>
                <w:lang w:bidi="ta-IN"/>
                <w14:ligatures w14:val="none"/>
              </w:rPr>
              <w:t>Lower risk for 28- day all-cause mortality of patients diagnosed with severe sepsis or septic shock</w:t>
            </w:r>
          </w:p>
        </w:tc>
      </w:tr>
      <w:tr w:rsidR="00F71AAE" w:rsidRPr="00F71AAE" w14:paraId="20E50E00" w14:textId="77777777" w:rsidTr="00930977">
        <w:trPr>
          <w:trHeight w:val="300"/>
        </w:trPr>
        <w:tc>
          <w:tcPr>
            <w:tcW w:w="9360" w:type="dxa"/>
            <w:gridSpan w:val="2"/>
            <w:noWrap/>
            <w:hideMark/>
          </w:tcPr>
          <w:p w14:paraId="113E5F92" w14:textId="77777777" w:rsidR="00F71AAE" w:rsidRPr="00F71AAE" w:rsidRDefault="00F71AAE" w:rsidP="00F71AAE">
            <w:pPr>
              <w:rPr>
                <w:rFonts w:ascii="Times New Roman" w:eastAsia="Times New Roman" w:hAnsi="Times New Roman" w:cs="Times New Roman"/>
                <w:kern w:val="0"/>
                <w:sz w:val="20"/>
                <w:szCs w:val="20"/>
                <w:lang w:bidi="ta-IN"/>
                <w14:ligatures w14:val="none"/>
              </w:rPr>
            </w:pPr>
          </w:p>
        </w:tc>
      </w:tr>
      <w:tr w:rsidR="00F71AAE" w:rsidRPr="00F71AAE" w14:paraId="369DEF67" w14:textId="77777777" w:rsidTr="00F71AAE">
        <w:trPr>
          <w:trHeight w:val="300"/>
        </w:trPr>
        <w:tc>
          <w:tcPr>
            <w:tcW w:w="9360" w:type="dxa"/>
            <w:gridSpan w:val="2"/>
            <w:noWrap/>
            <w:hideMark/>
          </w:tcPr>
          <w:p w14:paraId="0E56E50D" w14:textId="77777777" w:rsidR="00F71AAE" w:rsidRPr="00F71AAE" w:rsidRDefault="00F71AAE" w:rsidP="00F71AAE">
            <w:pPr>
              <w:rPr>
                <w:rFonts w:ascii="Calibri" w:eastAsia="Times New Roman" w:hAnsi="Calibri" w:cs="Calibri"/>
                <w:b/>
                <w:bCs/>
                <w:color w:val="000000"/>
                <w:kern w:val="0"/>
                <w:lang w:bidi="ta-IN"/>
                <w14:ligatures w14:val="none"/>
              </w:rPr>
            </w:pPr>
            <w:r w:rsidRPr="00F71AAE">
              <w:rPr>
                <w:rFonts w:ascii="Calibri" w:eastAsia="Times New Roman" w:hAnsi="Calibri" w:cs="Calibri"/>
                <w:b/>
                <w:bCs/>
                <w:color w:val="000000"/>
                <w:kern w:val="0"/>
                <w:lang w:bidi="ta-IN"/>
                <w14:ligatures w14:val="none"/>
              </w:rPr>
              <w:t>Decision making on antibiotic therapy for patients with suspected or confirmed LRTI Initiation</w:t>
            </w:r>
          </w:p>
        </w:tc>
      </w:tr>
      <w:tr w:rsidR="00F71AAE" w:rsidRPr="00F71AAE" w14:paraId="23B47918" w14:textId="77777777" w:rsidTr="00F71AAE">
        <w:trPr>
          <w:trHeight w:val="300"/>
        </w:trPr>
        <w:tc>
          <w:tcPr>
            <w:tcW w:w="3138" w:type="dxa"/>
            <w:noWrap/>
            <w:hideMark/>
          </w:tcPr>
          <w:p w14:paraId="63F6076D" w14:textId="77777777" w:rsidR="00F71AAE" w:rsidRPr="00F71AAE" w:rsidRDefault="00F71AAE" w:rsidP="00F71AAE">
            <w:pPr>
              <w:rPr>
                <w:rFonts w:ascii="Calibri" w:eastAsia="Times New Roman" w:hAnsi="Calibri" w:cs="Calibri"/>
                <w:color w:val="000000"/>
                <w:kern w:val="0"/>
                <w:lang w:bidi="ta-IN"/>
                <w14:ligatures w14:val="none"/>
              </w:rPr>
            </w:pPr>
            <w:r w:rsidRPr="00F71AAE">
              <w:rPr>
                <w:rFonts w:ascii="Calibri" w:eastAsia="Times New Roman" w:hAnsi="Calibri" w:cs="Calibri"/>
                <w:color w:val="000000"/>
                <w:kern w:val="0"/>
                <w:lang w:bidi="ta-IN"/>
                <w14:ligatures w14:val="none"/>
              </w:rPr>
              <w:t>PCT Result</w:t>
            </w:r>
          </w:p>
        </w:tc>
        <w:tc>
          <w:tcPr>
            <w:tcW w:w="6222" w:type="dxa"/>
            <w:noWrap/>
            <w:hideMark/>
          </w:tcPr>
          <w:p w14:paraId="7087C599" w14:textId="77777777" w:rsidR="00F71AAE" w:rsidRPr="00F71AAE" w:rsidRDefault="00F71AAE" w:rsidP="00F71AAE">
            <w:pPr>
              <w:rPr>
                <w:rFonts w:ascii="Calibri" w:eastAsia="Times New Roman" w:hAnsi="Calibri" w:cs="Calibri"/>
                <w:color w:val="000000"/>
                <w:kern w:val="0"/>
                <w:lang w:bidi="ta-IN"/>
                <w14:ligatures w14:val="none"/>
              </w:rPr>
            </w:pPr>
            <w:r w:rsidRPr="00F71AAE">
              <w:rPr>
                <w:rFonts w:ascii="Calibri" w:eastAsia="Times New Roman" w:hAnsi="Calibri" w:cs="Calibri"/>
                <w:color w:val="000000"/>
                <w:kern w:val="0"/>
                <w:lang w:bidi="ta-IN"/>
                <w14:ligatures w14:val="none"/>
              </w:rPr>
              <w:t>Interpretation</w:t>
            </w:r>
          </w:p>
        </w:tc>
      </w:tr>
      <w:tr w:rsidR="00F71AAE" w:rsidRPr="00F71AAE" w14:paraId="6B0A5801" w14:textId="77777777" w:rsidTr="00F71AAE">
        <w:trPr>
          <w:trHeight w:val="300"/>
        </w:trPr>
        <w:tc>
          <w:tcPr>
            <w:tcW w:w="3138" w:type="dxa"/>
            <w:noWrap/>
            <w:hideMark/>
          </w:tcPr>
          <w:p w14:paraId="5D964098" w14:textId="77777777" w:rsidR="00F71AAE" w:rsidRPr="00F71AAE" w:rsidRDefault="00F71AAE" w:rsidP="00F71AAE">
            <w:pPr>
              <w:rPr>
                <w:rFonts w:ascii="Calibri" w:eastAsia="Times New Roman" w:hAnsi="Calibri" w:cs="Calibri"/>
                <w:color w:val="000000"/>
                <w:kern w:val="0"/>
                <w:lang w:bidi="ta-IN"/>
                <w14:ligatures w14:val="none"/>
              </w:rPr>
            </w:pPr>
            <w:r w:rsidRPr="00F71AAE">
              <w:rPr>
                <w:rFonts w:ascii="Calibri" w:eastAsia="Times New Roman" w:hAnsi="Calibri" w:cs="Calibri"/>
                <w:color w:val="000000"/>
                <w:kern w:val="0"/>
                <w:lang w:bidi="ta-IN"/>
                <w14:ligatures w14:val="none"/>
              </w:rPr>
              <w:t>&lt; 0.10 ng/mL</w:t>
            </w:r>
          </w:p>
        </w:tc>
        <w:tc>
          <w:tcPr>
            <w:tcW w:w="6222" w:type="dxa"/>
            <w:noWrap/>
            <w:hideMark/>
          </w:tcPr>
          <w:p w14:paraId="6838EDDE" w14:textId="77777777" w:rsidR="00F71AAE" w:rsidRPr="00F71AAE" w:rsidRDefault="00F71AAE" w:rsidP="00F71AAE">
            <w:pPr>
              <w:rPr>
                <w:rFonts w:ascii="Calibri" w:eastAsia="Times New Roman" w:hAnsi="Calibri" w:cs="Calibri"/>
                <w:color w:val="000000"/>
                <w:kern w:val="0"/>
                <w:lang w:bidi="ta-IN"/>
                <w14:ligatures w14:val="none"/>
              </w:rPr>
            </w:pPr>
            <w:r w:rsidRPr="00F71AAE">
              <w:rPr>
                <w:rFonts w:ascii="Calibri" w:eastAsia="Times New Roman" w:hAnsi="Calibri" w:cs="Calibri"/>
                <w:color w:val="000000"/>
                <w:kern w:val="0"/>
                <w:lang w:bidi="ta-IN"/>
                <w14:ligatures w14:val="none"/>
              </w:rPr>
              <w:t>Antibiotic therapy strongly discouraged.</w:t>
            </w:r>
          </w:p>
        </w:tc>
      </w:tr>
      <w:tr w:rsidR="00F71AAE" w:rsidRPr="00F71AAE" w14:paraId="1820F10C" w14:textId="77777777" w:rsidTr="00F71AAE">
        <w:trPr>
          <w:trHeight w:val="300"/>
        </w:trPr>
        <w:tc>
          <w:tcPr>
            <w:tcW w:w="3138" w:type="dxa"/>
            <w:noWrap/>
            <w:hideMark/>
          </w:tcPr>
          <w:p w14:paraId="06DF0FF5" w14:textId="77777777" w:rsidR="00F71AAE" w:rsidRPr="00F71AAE" w:rsidRDefault="00F71AAE" w:rsidP="00F71AAE">
            <w:pPr>
              <w:rPr>
                <w:rFonts w:ascii="Calibri" w:eastAsia="Times New Roman" w:hAnsi="Calibri" w:cs="Calibri"/>
                <w:color w:val="000000"/>
                <w:kern w:val="0"/>
                <w:lang w:bidi="ta-IN"/>
                <w14:ligatures w14:val="none"/>
              </w:rPr>
            </w:pPr>
            <w:r w:rsidRPr="00F71AAE">
              <w:rPr>
                <w:rFonts w:ascii="Calibri" w:eastAsia="Times New Roman" w:hAnsi="Calibri" w:cs="Calibri"/>
                <w:color w:val="000000"/>
                <w:kern w:val="0"/>
                <w:lang w:bidi="ta-IN"/>
                <w14:ligatures w14:val="none"/>
              </w:rPr>
              <w:t>0.10-0.25 ng/mL</w:t>
            </w:r>
          </w:p>
        </w:tc>
        <w:tc>
          <w:tcPr>
            <w:tcW w:w="6222" w:type="dxa"/>
            <w:noWrap/>
            <w:hideMark/>
          </w:tcPr>
          <w:p w14:paraId="3673EB91" w14:textId="77777777" w:rsidR="00F71AAE" w:rsidRPr="00F71AAE" w:rsidRDefault="00F71AAE" w:rsidP="00F71AAE">
            <w:pPr>
              <w:rPr>
                <w:rFonts w:ascii="Calibri" w:eastAsia="Times New Roman" w:hAnsi="Calibri" w:cs="Calibri"/>
                <w:color w:val="000000"/>
                <w:kern w:val="0"/>
                <w:lang w:bidi="ta-IN"/>
                <w14:ligatures w14:val="none"/>
              </w:rPr>
            </w:pPr>
            <w:r w:rsidRPr="00F71AAE">
              <w:rPr>
                <w:rFonts w:ascii="Calibri" w:eastAsia="Times New Roman" w:hAnsi="Calibri" w:cs="Calibri"/>
                <w:color w:val="000000"/>
                <w:kern w:val="0"/>
                <w:lang w:bidi="ta-IN"/>
                <w14:ligatures w14:val="none"/>
              </w:rPr>
              <w:t>Antibiotic therapy discouraged</w:t>
            </w:r>
          </w:p>
        </w:tc>
      </w:tr>
      <w:tr w:rsidR="00F71AAE" w:rsidRPr="00F71AAE" w14:paraId="0606C67E" w14:textId="77777777" w:rsidTr="00F71AAE">
        <w:trPr>
          <w:trHeight w:val="300"/>
        </w:trPr>
        <w:tc>
          <w:tcPr>
            <w:tcW w:w="3138" w:type="dxa"/>
            <w:noWrap/>
            <w:hideMark/>
          </w:tcPr>
          <w:p w14:paraId="42CC04E5" w14:textId="77777777" w:rsidR="00F71AAE" w:rsidRPr="00F71AAE" w:rsidRDefault="00F71AAE" w:rsidP="00F71AAE">
            <w:pPr>
              <w:rPr>
                <w:rFonts w:ascii="Calibri" w:eastAsia="Times New Roman" w:hAnsi="Calibri" w:cs="Calibri"/>
                <w:color w:val="000000"/>
                <w:kern w:val="0"/>
                <w:lang w:bidi="ta-IN"/>
                <w14:ligatures w14:val="none"/>
              </w:rPr>
            </w:pPr>
            <w:r w:rsidRPr="00F71AAE">
              <w:rPr>
                <w:rFonts w:ascii="Calibri" w:eastAsia="Times New Roman" w:hAnsi="Calibri" w:cs="Calibri"/>
                <w:color w:val="000000"/>
                <w:kern w:val="0"/>
                <w:lang w:bidi="ta-IN"/>
                <w14:ligatures w14:val="none"/>
              </w:rPr>
              <w:t>0.26-0.50 ng/mL</w:t>
            </w:r>
          </w:p>
        </w:tc>
        <w:tc>
          <w:tcPr>
            <w:tcW w:w="6222" w:type="dxa"/>
            <w:noWrap/>
            <w:hideMark/>
          </w:tcPr>
          <w:p w14:paraId="27E48D20" w14:textId="77777777" w:rsidR="00F71AAE" w:rsidRPr="00F71AAE" w:rsidRDefault="00F71AAE" w:rsidP="00F71AAE">
            <w:pPr>
              <w:rPr>
                <w:rFonts w:ascii="Calibri" w:eastAsia="Times New Roman" w:hAnsi="Calibri" w:cs="Calibri"/>
                <w:color w:val="000000"/>
                <w:kern w:val="0"/>
                <w:lang w:bidi="ta-IN"/>
                <w14:ligatures w14:val="none"/>
              </w:rPr>
            </w:pPr>
            <w:r w:rsidRPr="00F71AAE">
              <w:rPr>
                <w:rFonts w:ascii="Calibri" w:eastAsia="Times New Roman" w:hAnsi="Calibri" w:cs="Calibri"/>
                <w:color w:val="000000"/>
                <w:kern w:val="0"/>
                <w:lang w:bidi="ta-IN"/>
                <w14:ligatures w14:val="none"/>
              </w:rPr>
              <w:t>Antibiotic therapy encouraged.</w:t>
            </w:r>
          </w:p>
        </w:tc>
      </w:tr>
      <w:tr w:rsidR="00F71AAE" w:rsidRPr="00F71AAE" w14:paraId="22CD4B0B" w14:textId="77777777" w:rsidTr="00F71AAE">
        <w:trPr>
          <w:trHeight w:val="300"/>
        </w:trPr>
        <w:tc>
          <w:tcPr>
            <w:tcW w:w="3138" w:type="dxa"/>
            <w:noWrap/>
            <w:hideMark/>
          </w:tcPr>
          <w:p w14:paraId="4CF97649" w14:textId="77777777" w:rsidR="00F71AAE" w:rsidRPr="00F71AAE" w:rsidRDefault="00F71AAE" w:rsidP="00F71AAE">
            <w:pPr>
              <w:rPr>
                <w:rFonts w:ascii="Calibri" w:eastAsia="Times New Roman" w:hAnsi="Calibri" w:cs="Calibri"/>
                <w:color w:val="000000"/>
                <w:kern w:val="0"/>
                <w:lang w:bidi="ta-IN"/>
                <w14:ligatures w14:val="none"/>
              </w:rPr>
            </w:pPr>
            <w:r w:rsidRPr="00F71AAE">
              <w:rPr>
                <w:rFonts w:ascii="Calibri" w:eastAsia="Times New Roman" w:hAnsi="Calibri" w:cs="Calibri"/>
                <w:color w:val="000000"/>
                <w:kern w:val="0"/>
                <w:lang w:bidi="ta-IN"/>
                <w14:ligatures w14:val="none"/>
              </w:rPr>
              <w:t>&gt; 0.50 ng/mL</w:t>
            </w:r>
          </w:p>
        </w:tc>
        <w:tc>
          <w:tcPr>
            <w:tcW w:w="6222" w:type="dxa"/>
            <w:noWrap/>
            <w:hideMark/>
          </w:tcPr>
          <w:p w14:paraId="193BB64C" w14:textId="77777777" w:rsidR="00F71AAE" w:rsidRPr="00F71AAE" w:rsidRDefault="00F71AAE" w:rsidP="00F71AAE">
            <w:pPr>
              <w:rPr>
                <w:rFonts w:ascii="Calibri" w:eastAsia="Times New Roman" w:hAnsi="Calibri" w:cs="Calibri"/>
                <w:color w:val="000000"/>
                <w:kern w:val="0"/>
                <w:lang w:bidi="ta-IN"/>
                <w14:ligatures w14:val="none"/>
              </w:rPr>
            </w:pPr>
            <w:r w:rsidRPr="00F71AAE">
              <w:rPr>
                <w:rFonts w:ascii="Calibri" w:eastAsia="Times New Roman" w:hAnsi="Calibri" w:cs="Calibri"/>
                <w:color w:val="000000"/>
                <w:kern w:val="0"/>
                <w:lang w:bidi="ta-IN"/>
                <w14:ligatures w14:val="none"/>
              </w:rPr>
              <w:t>Antibiotic therapy strongly encouraged.</w:t>
            </w:r>
          </w:p>
        </w:tc>
      </w:tr>
      <w:tr w:rsidR="00C43258" w:rsidRPr="00F71AAE" w14:paraId="18FBEEE5" w14:textId="77777777" w:rsidTr="006C3222">
        <w:trPr>
          <w:trHeight w:val="300"/>
        </w:trPr>
        <w:tc>
          <w:tcPr>
            <w:tcW w:w="9360" w:type="dxa"/>
            <w:gridSpan w:val="2"/>
            <w:noWrap/>
          </w:tcPr>
          <w:p w14:paraId="198B8863" w14:textId="77777777" w:rsidR="00C43258" w:rsidRPr="00F71AAE" w:rsidRDefault="00C43258" w:rsidP="00F71AAE">
            <w:pPr>
              <w:rPr>
                <w:rFonts w:ascii="Times New Roman" w:eastAsia="Times New Roman" w:hAnsi="Times New Roman" w:cs="Times New Roman"/>
                <w:kern w:val="0"/>
                <w:sz w:val="20"/>
                <w:szCs w:val="20"/>
                <w:lang w:bidi="ta-IN"/>
                <w14:ligatures w14:val="none"/>
              </w:rPr>
            </w:pPr>
          </w:p>
        </w:tc>
      </w:tr>
      <w:tr w:rsidR="00C43258" w:rsidRPr="00F71AAE" w14:paraId="6E0EFEC6" w14:textId="77777777" w:rsidTr="003A65DE">
        <w:trPr>
          <w:trHeight w:val="300"/>
        </w:trPr>
        <w:tc>
          <w:tcPr>
            <w:tcW w:w="9360" w:type="dxa"/>
            <w:gridSpan w:val="2"/>
            <w:noWrap/>
            <w:hideMark/>
          </w:tcPr>
          <w:p w14:paraId="65224070" w14:textId="3A44B043" w:rsidR="00C43258" w:rsidRPr="00F71AAE" w:rsidRDefault="00C43258" w:rsidP="00F71AAE">
            <w:pPr>
              <w:rPr>
                <w:rFonts w:ascii="Times New Roman" w:eastAsia="Times New Roman" w:hAnsi="Times New Roman" w:cs="Times New Roman"/>
                <w:kern w:val="0"/>
                <w:sz w:val="20"/>
                <w:szCs w:val="20"/>
                <w:lang w:bidi="ta-IN"/>
                <w14:ligatures w14:val="none"/>
              </w:rPr>
            </w:pPr>
            <w:r w:rsidRPr="00F71AAE">
              <w:rPr>
                <w:rFonts w:ascii="Calibri" w:eastAsia="Times New Roman" w:hAnsi="Calibri" w:cs="Calibri"/>
                <w:color w:val="000000"/>
                <w:kern w:val="0"/>
                <w:lang w:bidi="ta-IN"/>
                <w14:ligatures w14:val="none"/>
              </w:rPr>
              <w:t>Follow-Up</w:t>
            </w:r>
          </w:p>
        </w:tc>
      </w:tr>
      <w:tr w:rsidR="00F71AAE" w:rsidRPr="00F71AAE" w14:paraId="482D04BA" w14:textId="77777777" w:rsidTr="00F71AAE">
        <w:trPr>
          <w:trHeight w:val="300"/>
        </w:trPr>
        <w:tc>
          <w:tcPr>
            <w:tcW w:w="9360" w:type="dxa"/>
            <w:gridSpan w:val="2"/>
            <w:noWrap/>
            <w:hideMark/>
          </w:tcPr>
          <w:p w14:paraId="5050D5F5" w14:textId="77777777" w:rsidR="00F71AAE" w:rsidRPr="00F71AAE" w:rsidRDefault="00F71AAE" w:rsidP="00F71AAE">
            <w:pPr>
              <w:rPr>
                <w:rFonts w:ascii="Calibri" w:eastAsia="Times New Roman" w:hAnsi="Calibri" w:cs="Calibri"/>
                <w:color w:val="000000"/>
                <w:kern w:val="0"/>
                <w:lang w:bidi="ta-IN"/>
                <w14:ligatures w14:val="none"/>
              </w:rPr>
            </w:pPr>
            <w:r w:rsidRPr="00F71AAE">
              <w:rPr>
                <w:rFonts w:ascii="Calibri" w:eastAsia="Times New Roman" w:hAnsi="Calibri" w:cs="Calibri"/>
                <w:color w:val="000000"/>
                <w:kern w:val="0"/>
                <w:lang w:bidi="ta-IN"/>
                <w14:ligatures w14:val="none"/>
              </w:rPr>
              <w:t xml:space="preserve">Antibiotic therapy should be considered regardless of PCT result if the patient is clinically unstable, is at high risk for adverse outcome, has strong evidence of bacterial pathogen, or the clinical context indicates antibiotic therapy is warranted. </w:t>
            </w:r>
          </w:p>
        </w:tc>
      </w:tr>
      <w:tr w:rsidR="00F71AAE" w:rsidRPr="00F71AAE" w14:paraId="652323EA" w14:textId="77777777" w:rsidTr="00F71AAE">
        <w:trPr>
          <w:trHeight w:val="300"/>
        </w:trPr>
        <w:tc>
          <w:tcPr>
            <w:tcW w:w="9360" w:type="dxa"/>
            <w:gridSpan w:val="2"/>
            <w:noWrap/>
            <w:hideMark/>
          </w:tcPr>
          <w:p w14:paraId="021B1C8E" w14:textId="77777777" w:rsidR="00F71AAE" w:rsidRPr="00F71AAE" w:rsidRDefault="00F71AAE" w:rsidP="00F71AAE">
            <w:pPr>
              <w:rPr>
                <w:rFonts w:ascii="Calibri" w:eastAsia="Times New Roman" w:hAnsi="Calibri" w:cs="Calibri"/>
                <w:color w:val="000000"/>
                <w:kern w:val="0"/>
                <w:lang w:bidi="ta-IN"/>
                <w14:ligatures w14:val="none"/>
              </w:rPr>
            </w:pPr>
            <w:r w:rsidRPr="00F71AAE">
              <w:rPr>
                <w:rFonts w:ascii="Calibri" w:eastAsia="Times New Roman" w:hAnsi="Calibri" w:cs="Calibri"/>
                <w:color w:val="000000"/>
                <w:kern w:val="0"/>
                <w:lang w:bidi="ta-IN"/>
                <w14:ligatures w14:val="none"/>
              </w:rPr>
              <w:t>If antibiotics are withheld, reassess if symptoms persist/worsen and/or repeat PCT measurement within 6–24 hours.</w:t>
            </w:r>
          </w:p>
        </w:tc>
      </w:tr>
      <w:tr w:rsidR="00F71AAE" w:rsidRPr="00F71AAE" w14:paraId="0FA7C009" w14:textId="77777777" w:rsidTr="00F71AAE">
        <w:trPr>
          <w:trHeight w:val="300"/>
        </w:trPr>
        <w:tc>
          <w:tcPr>
            <w:tcW w:w="9360" w:type="dxa"/>
            <w:gridSpan w:val="2"/>
            <w:noWrap/>
            <w:hideMark/>
          </w:tcPr>
          <w:p w14:paraId="1025A7EC" w14:textId="77777777" w:rsidR="00F71AAE" w:rsidRPr="00F71AAE" w:rsidRDefault="00F71AAE" w:rsidP="00F71AAE">
            <w:pPr>
              <w:rPr>
                <w:rFonts w:ascii="Calibri" w:eastAsia="Times New Roman" w:hAnsi="Calibri" w:cs="Calibri"/>
                <w:color w:val="000000"/>
                <w:kern w:val="0"/>
                <w:lang w:bidi="ta-IN"/>
                <w14:ligatures w14:val="none"/>
              </w:rPr>
            </w:pPr>
            <w:proofErr w:type="gramStart"/>
            <w:r w:rsidRPr="00F71AAE">
              <w:rPr>
                <w:rFonts w:ascii="Calibri" w:eastAsia="Times New Roman" w:hAnsi="Calibri" w:cs="Calibri"/>
                <w:color w:val="000000"/>
                <w:kern w:val="0"/>
                <w:lang w:bidi="ta-IN"/>
                <w14:ligatures w14:val="none"/>
              </w:rPr>
              <w:t>In order to</w:t>
            </w:r>
            <w:proofErr w:type="gramEnd"/>
            <w:r w:rsidRPr="00F71AAE">
              <w:rPr>
                <w:rFonts w:ascii="Calibri" w:eastAsia="Times New Roman" w:hAnsi="Calibri" w:cs="Calibri"/>
                <w:color w:val="000000"/>
                <w:kern w:val="0"/>
                <w:lang w:bidi="ta-IN"/>
                <w14:ligatures w14:val="none"/>
              </w:rPr>
              <w:t xml:space="preserve"> assess treatment success and to support a decision to discontinue antibiotic therapy, follow-up samples should be tested once every 1–2 days, based upon physician discretion taking into account patient’s evolution and progress.</w:t>
            </w:r>
          </w:p>
        </w:tc>
      </w:tr>
      <w:tr w:rsidR="00F71AAE" w:rsidRPr="00F71AAE" w14:paraId="68CC49B2" w14:textId="77777777" w:rsidTr="00F71AAE">
        <w:trPr>
          <w:trHeight w:val="300"/>
        </w:trPr>
        <w:tc>
          <w:tcPr>
            <w:tcW w:w="9360" w:type="dxa"/>
            <w:gridSpan w:val="2"/>
            <w:noWrap/>
            <w:hideMark/>
          </w:tcPr>
          <w:p w14:paraId="317ECEB2" w14:textId="77777777" w:rsidR="00F71AAE" w:rsidRPr="00F71AAE" w:rsidRDefault="00F71AAE" w:rsidP="00F71AAE">
            <w:pPr>
              <w:rPr>
                <w:rFonts w:ascii="Calibri" w:eastAsia="Times New Roman" w:hAnsi="Calibri" w:cs="Calibri"/>
                <w:color w:val="000000"/>
                <w:kern w:val="0"/>
                <w:lang w:bidi="ta-IN"/>
                <w14:ligatures w14:val="none"/>
              </w:rPr>
            </w:pPr>
            <w:r w:rsidRPr="00F71AAE">
              <w:rPr>
                <w:rFonts w:ascii="Calibri" w:eastAsia="Times New Roman" w:hAnsi="Calibri" w:cs="Calibri"/>
                <w:color w:val="000000"/>
                <w:kern w:val="0"/>
                <w:lang w:bidi="ta-IN"/>
                <w14:ligatures w14:val="none"/>
              </w:rPr>
              <w:t>Antibiotic therapy may be adjusted using the discontinuation table.</w:t>
            </w:r>
          </w:p>
        </w:tc>
      </w:tr>
      <w:tr w:rsidR="00F71AAE" w:rsidRPr="00F71AAE" w14:paraId="556CE515" w14:textId="77777777" w:rsidTr="00F71AAE">
        <w:trPr>
          <w:trHeight w:val="300"/>
        </w:trPr>
        <w:tc>
          <w:tcPr>
            <w:tcW w:w="9360" w:type="dxa"/>
            <w:gridSpan w:val="2"/>
            <w:noWrap/>
            <w:hideMark/>
          </w:tcPr>
          <w:p w14:paraId="1D0EA216" w14:textId="77777777" w:rsidR="00F71AAE" w:rsidRPr="00F71AAE" w:rsidRDefault="00F71AAE" w:rsidP="00F71AAE">
            <w:pPr>
              <w:rPr>
                <w:rFonts w:ascii="Calibri" w:eastAsia="Times New Roman" w:hAnsi="Calibri" w:cs="Calibri"/>
                <w:b/>
                <w:bCs/>
                <w:color w:val="000000"/>
                <w:kern w:val="0"/>
                <w:lang w:bidi="ta-IN"/>
                <w14:ligatures w14:val="none"/>
              </w:rPr>
            </w:pPr>
            <w:r w:rsidRPr="00F71AAE">
              <w:rPr>
                <w:rFonts w:ascii="Calibri" w:eastAsia="Times New Roman" w:hAnsi="Calibri" w:cs="Calibri"/>
                <w:b/>
                <w:bCs/>
                <w:color w:val="000000"/>
                <w:kern w:val="0"/>
                <w:lang w:bidi="ta-IN"/>
                <w14:ligatures w14:val="none"/>
              </w:rPr>
              <w:t>Decision making on antibiotic discontinuation for patients with suspected or confirmed LRTI Initiation</w:t>
            </w:r>
          </w:p>
        </w:tc>
      </w:tr>
      <w:tr w:rsidR="00F71AAE" w:rsidRPr="00F71AAE" w14:paraId="22030126" w14:textId="77777777" w:rsidTr="00F71AAE">
        <w:trPr>
          <w:trHeight w:val="360"/>
        </w:trPr>
        <w:tc>
          <w:tcPr>
            <w:tcW w:w="9360" w:type="dxa"/>
            <w:gridSpan w:val="2"/>
            <w:noWrap/>
            <w:hideMark/>
          </w:tcPr>
          <w:p w14:paraId="4D9D2E38" w14:textId="77777777" w:rsidR="00F71AAE" w:rsidRPr="00F71AAE" w:rsidRDefault="00F71AAE" w:rsidP="00F71AAE">
            <w:pPr>
              <w:rPr>
                <w:rFonts w:ascii="Calibri" w:eastAsia="Times New Roman" w:hAnsi="Calibri" w:cs="Calibri"/>
                <w:color w:val="000000"/>
                <w:kern w:val="0"/>
                <w:lang w:bidi="ta-IN"/>
                <w14:ligatures w14:val="none"/>
              </w:rPr>
            </w:pPr>
            <w:r w:rsidRPr="00F71AAE">
              <w:rPr>
                <w:rFonts w:ascii="Calibri" w:eastAsia="Times New Roman" w:hAnsi="Calibri" w:cs="Calibri"/>
                <w:color w:val="000000"/>
                <w:kern w:val="0"/>
                <w:lang w:bidi="ta-IN"/>
                <w14:ligatures w14:val="none"/>
              </w:rPr>
              <w:t xml:space="preserve">Antibiotic therapy may be discontinued if the </w:t>
            </w:r>
            <w:proofErr w:type="spellStart"/>
            <w:r w:rsidRPr="00F71AAE">
              <w:rPr>
                <w:rFonts w:ascii="Calibri" w:eastAsia="Times New Roman" w:hAnsi="Calibri" w:cs="Calibri"/>
                <w:color w:val="000000"/>
                <w:kern w:val="0"/>
                <w:lang w:bidi="ta-IN"/>
                <w14:ligatures w14:val="none"/>
              </w:rPr>
              <w:t>PCT</w:t>
            </w:r>
            <w:r w:rsidRPr="00F71AAE">
              <w:rPr>
                <w:rFonts w:ascii="Calibri" w:eastAsia="Times New Roman" w:hAnsi="Calibri" w:cs="Calibri"/>
                <w:color w:val="000000"/>
                <w:kern w:val="0"/>
                <w:vertAlign w:val="subscript"/>
                <w:lang w:bidi="ta-IN"/>
                <w14:ligatures w14:val="none"/>
              </w:rPr>
              <w:t>Current</w:t>
            </w:r>
            <w:proofErr w:type="spellEnd"/>
            <w:r w:rsidRPr="00F71AAE">
              <w:rPr>
                <w:rFonts w:ascii="Calibri" w:eastAsia="Times New Roman" w:hAnsi="Calibri" w:cs="Calibri"/>
                <w:color w:val="000000"/>
                <w:kern w:val="0"/>
                <w:lang w:bidi="ta-IN"/>
                <w14:ligatures w14:val="none"/>
              </w:rPr>
              <w:t xml:space="preserve"> is ≤ 0.25 ng/mL or if the ΔPCT is &gt; 80%.</w:t>
            </w:r>
          </w:p>
        </w:tc>
      </w:tr>
      <w:tr w:rsidR="00F71AAE" w:rsidRPr="00F71AAE" w14:paraId="581387DC" w14:textId="77777777" w:rsidTr="00F71AAE">
        <w:trPr>
          <w:trHeight w:val="360"/>
        </w:trPr>
        <w:tc>
          <w:tcPr>
            <w:tcW w:w="9360" w:type="dxa"/>
            <w:gridSpan w:val="2"/>
            <w:noWrap/>
            <w:hideMark/>
          </w:tcPr>
          <w:p w14:paraId="684FCA5F" w14:textId="77777777" w:rsidR="00F71AAE" w:rsidRPr="00F71AAE" w:rsidRDefault="00F71AAE" w:rsidP="00F71AAE">
            <w:pPr>
              <w:rPr>
                <w:rFonts w:ascii="Calibri" w:eastAsia="Times New Roman" w:hAnsi="Calibri" w:cs="Calibri"/>
                <w:color w:val="000000"/>
                <w:kern w:val="0"/>
                <w:lang w:bidi="ta-IN"/>
                <w14:ligatures w14:val="none"/>
              </w:rPr>
            </w:pPr>
            <w:proofErr w:type="spellStart"/>
            <w:r w:rsidRPr="00F71AAE">
              <w:rPr>
                <w:rFonts w:ascii="Calibri" w:eastAsia="Times New Roman" w:hAnsi="Calibri" w:cs="Calibri"/>
                <w:color w:val="000000"/>
                <w:kern w:val="0"/>
                <w:lang w:bidi="ta-IN"/>
                <w14:ligatures w14:val="none"/>
              </w:rPr>
              <w:t>ΔPCT</w:t>
            </w:r>
            <w:r w:rsidRPr="00F71AAE">
              <w:rPr>
                <w:rFonts w:ascii="Calibri" w:eastAsia="Times New Roman" w:hAnsi="Calibri" w:cs="Calibri"/>
                <w:color w:val="000000"/>
                <w:kern w:val="0"/>
                <w:vertAlign w:val="subscript"/>
                <w:lang w:bidi="ta-IN"/>
                <w14:ligatures w14:val="none"/>
              </w:rPr>
              <w:t>discontinuation</w:t>
            </w:r>
            <w:proofErr w:type="spellEnd"/>
            <w:r w:rsidRPr="00F71AAE">
              <w:rPr>
                <w:rFonts w:ascii="Calibri" w:eastAsia="Times New Roman" w:hAnsi="Calibri" w:cs="Calibri"/>
                <w:color w:val="000000"/>
                <w:kern w:val="0"/>
                <w:lang w:bidi="ta-IN"/>
                <w14:ligatures w14:val="none"/>
              </w:rPr>
              <w:t xml:space="preserve"> (</w:t>
            </w:r>
            <w:proofErr w:type="gramStart"/>
            <w:r w:rsidRPr="00F71AAE">
              <w:rPr>
                <w:rFonts w:ascii="Calibri" w:eastAsia="Times New Roman" w:hAnsi="Calibri" w:cs="Calibri"/>
                <w:color w:val="000000"/>
                <w:kern w:val="0"/>
                <w:lang w:bidi="ta-IN"/>
                <w14:ligatures w14:val="none"/>
              </w:rPr>
              <w:t>%)=</w:t>
            </w:r>
            <w:proofErr w:type="gramEnd"/>
            <w:r w:rsidRPr="00F71AAE">
              <w:rPr>
                <w:rFonts w:ascii="Calibri" w:eastAsia="Times New Roman" w:hAnsi="Calibri" w:cs="Calibri"/>
                <w:color w:val="000000"/>
                <w:kern w:val="0"/>
                <w:lang w:bidi="ta-IN"/>
                <w14:ligatures w14:val="none"/>
              </w:rPr>
              <w:t xml:space="preserve"> ((</w:t>
            </w:r>
            <w:proofErr w:type="spellStart"/>
            <w:r w:rsidRPr="00F71AAE">
              <w:rPr>
                <w:rFonts w:ascii="Calibri" w:eastAsia="Times New Roman" w:hAnsi="Calibri" w:cs="Calibri"/>
                <w:color w:val="000000"/>
                <w:kern w:val="0"/>
                <w:lang w:bidi="ta-IN"/>
                <w14:ligatures w14:val="none"/>
              </w:rPr>
              <w:t>PCT</w:t>
            </w:r>
            <w:r w:rsidRPr="00F71AAE">
              <w:rPr>
                <w:rFonts w:ascii="Calibri" w:eastAsia="Times New Roman" w:hAnsi="Calibri" w:cs="Calibri"/>
                <w:color w:val="000000"/>
                <w:kern w:val="0"/>
                <w:vertAlign w:val="subscript"/>
                <w:lang w:bidi="ta-IN"/>
                <w14:ligatures w14:val="none"/>
              </w:rPr>
              <w:t>Peak</w:t>
            </w:r>
            <w:proofErr w:type="spellEnd"/>
            <w:r w:rsidRPr="00F71AAE">
              <w:rPr>
                <w:rFonts w:ascii="Calibri" w:eastAsia="Times New Roman" w:hAnsi="Calibri" w:cs="Calibri"/>
                <w:color w:val="000000"/>
                <w:kern w:val="0"/>
                <w:lang w:bidi="ta-IN"/>
                <w14:ligatures w14:val="none"/>
              </w:rPr>
              <w:t xml:space="preserve"> – </w:t>
            </w:r>
            <w:proofErr w:type="spellStart"/>
            <w:r w:rsidRPr="00F71AAE">
              <w:rPr>
                <w:rFonts w:ascii="Calibri" w:eastAsia="Times New Roman" w:hAnsi="Calibri" w:cs="Calibri"/>
                <w:color w:val="000000"/>
                <w:kern w:val="0"/>
                <w:lang w:bidi="ta-IN"/>
                <w14:ligatures w14:val="none"/>
              </w:rPr>
              <w:t>PCT</w:t>
            </w:r>
            <w:r w:rsidRPr="00F71AAE">
              <w:rPr>
                <w:rFonts w:ascii="Calibri" w:eastAsia="Times New Roman" w:hAnsi="Calibri" w:cs="Calibri"/>
                <w:color w:val="000000"/>
                <w:kern w:val="0"/>
                <w:vertAlign w:val="subscript"/>
                <w:lang w:bidi="ta-IN"/>
                <w14:ligatures w14:val="none"/>
              </w:rPr>
              <w:t>Current</w:t>
            </w:r>
            <w:proofErr w:type="spellEnd"/>
            <w:r w:rsidRPr="00F71AAE">
              <w:rPr>
                <w:rFonts w:ascii="Calibri" w:eastAsia="Times New Roman" w:hAnsi="Calibri" w:cs="Calibri"/>
                <w:color w:val="000000"/>
                <w:kern w:val="0"/>
                <w:lang w:bidi="ta-IN"/>
                <w14:ligatures w14:val="none"/>
              </w:rPr>
              <w:t xml:space="preserve"> ) / </w:t>
            </w:r>
            <w:proofErr w:type="spellStart"/>
            <w:r w:rsidRPr="00F71AAE">
              <w:rPr>
                <w:rFonts w:ascii="Calibri" w:eastAsia="Times New Roman" w:hAnsi="Calibri" w:cs="Calibri"/>
                <w:color w:val="000000"/>
                <w:kern w:val="0"/>
                <w:lang w:bidi="ta-IN"/>
                <w14:ligatures w14:val="none"/>
              </w:rPr>
              <w:t>PCT</w:t>
            </w:r>
            <w:r w:rsidRPr="00F71AAE">
              <w:rPr>
                <w:rFonts w:ascii="Calibri" w:eastAsia="Times New Roman" w:hAnsi="Calibri" w:cs="Calibri"/>
                <w:color w:val="000000"/>
                <w:kern w:val="0"/>
                <w:vertAlign w:val="subscript"/>
                <w:lang w:bidi="ta-IN"/>
                <w14:ligatures w14:val="none"/>
              </w:rPr>
              <w:t>Peak</w:t>
            </w:r>
            <w:proofErr w:type="spellEnd"/>
            <w:r w:rsidRPr="00F71AAE">
              <w:rPr>
                <w:rFonts w:ascii="Calibri" w:eastAsia="Times New Roman" w:hAnsi="Calibri" w:cs="Calibri"/>
                <w:color w:val="000000"/>
                <w:kern w:val="0"/>
                <w:lang w:bidi="ta-IN"/>
                <w14:ligatures w14:val="none"/>
              </w:rPr>
              <w:t>) x 100</w:t>
            </w:r>
          </w:p>
        </w:tc>
      </w:tr>
      <w:tr w:rsidR="00C43258" w:rsidRPr="00F71AAE" w14:paraId="61F3F9EC" w14:textId="77777777" w:rsidTr="00CE6F24">
        <w:trPr>
          <w:trHeight w:val="300"/>
        </w:trPr>
        <w:tc>
          <w:tcPr>
            <w:tcW w:w="9360" w:type="dxa"/>
            <w:gridSpan w:val="2"/>
            <w:noWrap/>
            <w:hideMark/>
          </w:tcPr>
          <w:p w14:paraId="5977BF55" w14:textId="09BCE16C" w:rsidR="00C43258" w:rsidRPr="00F71AAE" w:rsidRDefault="00C43258" w:rsidP="00F71AAE">
            <w:pPr>
              <w:rPr>
                <w:rFonts w:ascii="Times New Roman" w:eastAsia="Times New Roman" w:hAnsi="Times New Roman" w:cs="Times New Roman"/>
                <w:kern w:val="0"/>
                <w:sz w:val="20"/>
                <w:szCs w:val="20"/>
                <w:lang w:bidi="ta-IN"/>
                <w14:ligatures w14:val="none"/>
              </w:rPr>
            </w:pPr>
            <w:r w:rsidRPr="00F71AAE">
              <w:rPr>
                <w:rFonts w:ascii="Calibri" w:eastAsia="Times New Roman" w:hAnsi="Calibri" w:cs="Calibri"/>
                <w:color w:val="000000"/>
                <w:kern w:val="0"/>
                <w:lang w:bidi="ta-IN"/>
                <w14:ligatures w14:val="none"/>
              </w:rPr>
              <w:t>Follow-Up</w:t>
            </w:r>
          </w:p>
        </w:tc>
      </w:tr>
      <w:tr w:rsidR="00F71AAE" w:rsidRPr="00F71AAE" w14:paraId="754AD182" w14:textId="77777777" w:rsidTr="00F71AAE">
        <w:trPr>
          <w:trHeight w:val="300"/>
        </w:trPr>
        <w:tc>
          <w:tcPr>
            <w:tcW w:w="9360" w:type="dxa"/>
            <w:gridSpan w:val="2"/>
            <w:noWrap/>
            <w:hideMark/>
          </w:tcPr>
          <w:p w14:paraId="67C7C12D" w14:textId="77777777" w:rsidR="00F71AAE" w:rsidRPr="00F71AAE" w:rsidRDefault="00F71AAE" w:rsidP="00F71AAE">
            <w:pPr>
              <w:rPr>
                <w:rFonts w:ascii="Calibri" w:eastAsia="Times New Roman" w:hAnsi="Calibri" w:cs="Calibri"/>
                <w:color w:val="000000"/>
                <w:kern w:val="0"/>
                <w:lang w:bidi="ta-IN"/>
                <w14:ligatures w14:val="none"/>
              </w:rPr>
            </w:pPr>
            <w:r w:rsidRPr="00F71AAE">
              <w:rPr>
                <w:rFonts w:ascii="Calibri" w:eastAsia="Times New Roman" w:hAnsi="Calibri" w:cs="Calibri"/>
                <w:color w:val="000000"/>
                <w:kern w:val="0"/>
                <w:lang w:bidi="ta-IN"/>
                <w14:ligatures w14:val="none"/>
              </w:rPr>
              <w:t>Antibiotic therapy may be continued based upon other clinical findings, such as apparent progression on chest x-ray or ongoing/increasing toxicity.</w:t>
            </w:r>
          </w:p>
        </w:tc>
      </w:tr>
      <w:tr w:rsidR="00F71AAE" w:rsidRPr="00F71AAE" w14:paraId="08099A3C" w14:textId="77777777" w:rsidTr="00F71AAE">
        <w:trPr>
          <w:trHeight w:val="300"/>
        </w:trPr>
        <w:tc>
          <w:tcPr>
            <w:tcW w:w="9360" w:type="dxa"/>
            <w:gridSpan w:val="2"/>
            <w:noWrap/>
            <w:hideMark/>
          </w:tcPr>
          <w:p w14:paraId="52545339" w14:textId="77777777" w:rsidR="00F71AAE" w:rsidRPr="00F71AAE" w:rsidRDefault="00F71AAE" w:rsidP="00F71AAE">
            <w:pPr>
              <w:rPr>
                <w:rFonts w:ascii="Calibri" w:eastAsia="Times New Roman" w:hAnsi="Calibri" w:cs="Calibri"/>
                <w:color w:val="000000"/>
                <w:kern w:val="0"/>
                <w:lang w:bidi="ta-IN"/>
                <w14:ligatures w14:val="none"/>
              </w:rPr>
            </w:pPr>
            <w:r w:rsidRPr="00F71AAE">
              <w:rPr>
                <w:rFonts w:ascii="Calibri" w:eastAsia="Times New Roman" w:hAnsi="Calibri" w:cs="Calibri"/>
                <w:color w:val="000000"/>
                <w:kern w:val="0"/>
                <w:lang w:bidi="ta-IN"/>
                <w14:ligatures w14:val="none"/>
              </w:rPr>
              <w:t xml:space="preserve">If clinical picture has not improved and PCT remains high, </w:t>
            </w:r>
            <w:proofErr w:type="gramStart"/>
            <w:r w:rsidRPr="00F71AAE">
              <w:rPr>
                <w:rFonts w:ascii="Calibri" w:eastAsia="Times New Roman" w:hAnsi="Calibri" w:cs="Calibri"/>
                <w:color w:val="000000"/>
                <w:kern w:val="0"/>
                <w:lang w:bidi="ta-IN"/>
                <w14:ligatures w14:val="none"/>
              </w:rPr>
              <w:t>reevaluate</w:t>
            </w:r>
            <w:proofErr w:type="gramEnd"/>
            <w:r w:rsidRPr="00F71AAE">
              <w:rPr>
                <w:rFonts w:ascii="Calibri" w:eastAsia="Times New Roman" w:hAnsi="Calibri" w:cs="Calibri"/>
                <w:color w:val="000000"/>
                <w:kern w:val="0"/>
                <w:lang w:bidi="ta-IN"/>
                <w14:ligatures w14:val="none"/>
              </w:rPr>
              <w:t xml:space="preserve"> and consider treatment failure or other causes.</w:t>
            </w:r>
          </w:p>
        </w:tc>
      </w:tr>
      <w:tr w:rsidR="00F71AAE" w:rsidRPr="00F71AAE" w14:paraId="71EC5443" w14:textId="77777777" w:rsidTr="00AB5F26">
        <w:trPr>
          <w:trHeight w:val="300"/>
        </w:trPr>
        <w:tc>
          <w:tcPr>
            <w:tcW w:w="9360" w:type="dxa"/>
            <w:gridSpan w:val="2"/>
            <w:noWrap/>
            <w:hideMark/>
          </w:tcPr>
          <w:p w14:paraId="0E33BD28" w14:textId="77777777" w:rsidR="00F71AAE" w:rsidRPr="00F71AAE" w:rsidRDefault="00F71AAE" w:rsidP="00F71AAE">
            <w:pPr>
              <w:rPr>
                <w:rFonts w:ascii="Times New Roman" w:eastAsia="Times New Roman" w:hAnsi="Times New Roman" w:cs="Times New Roman"/>
                <w:kern w:val="0"/>
                <w:sz w:val="20"/>
                <w:szCs w:val="20"/>
                <w:lang w:bidi="ta-IN"/>
                <w14:ligatures w14:val="none"/>
              </w:rPr>
            </w:pPr>
          </w:p>
        </w:tc>
      </w:tr>
      <w:tr w:rsidR="00F71AAE" w:rsidRPr="00F71AAE" w14:paraId="73554148" w14:textId="77777777" w:rsidTr="00F71AAE">
        <w:trPr>
          <w:trHeight w:val="300"/>
        </w:trPr>
        <w:tc>
          <w:tcPr>
            <w:tcW w:w="9360" w:type="dxa"/>
            <w:gridSpan w:val="2"/>
            <w:noWrap/>
            <w:hideMark/>
          </w:tcPr>
          <w:p w14:paraId="1269790A" w14:textId="77777777" w:rsidR="00F71AAE" w:rsidRPr="00F71AAE" w:rsidRDefault="00F71AAE" w:rsidP="00F71AAE">
            <w:pPr>
              <w:rPr>
                <w:rFonts w:ascii="Calibri" w:eastAsia="Times New Roman" w:hAnsi="Calibri" w:cs="Calibri"/>
                <w:b/>
                <w:bCs/>
                <w:color w:val="000000"/>
                <w:kern w:val="0"/>
                <w:lang w:bidi="ta-IN"/>
                <w14:ligatures w14:val="none"/>
              </w:rPr>
            </w:pPr>
            <w:r w:rsidRPr="00F71AAE">
              <w:rPr>
                <w:rFonts w:ascii="Calibri" w:eastAsia="Times New Roman" w:hAnsi="Calibri" w:cs="Calibri"/>
                <w:b/>
                <w:bCs/>
                <w:color w:val="000000"/>
                <w:kern w:val="0"/>
                <w:lang w:bidi="ta-IN"/>
                <w14:ligatures w14:val="none"/>
              </w:rPr>
              <w:t>Decision making on antibiotic discontinuation for suspected or confirmed septic patients</w:t>
            </w:r>
          </w:p>
        </w:tc>
      </w:tr>
      <w:tr w:rsidR="00F71AAE" w:rsidRPr="00F71AAE" w14:paraId="779CB245" w14:textId="77777777" w:rsidTr="00F71AAE">
        <w:trPr>
          <w:trHeight w:val="300"/>
        </w:trPr>
        <w:tc>
          <w:tcPr>
            <w:tcW w:w="9360" w:type="dxa"/>
            <w:gridSpan w:val="2"/>
            <w:noWrap/>
            <w:hideMark/>
          </w:tcPr>
          <w:p w14:paraId="28B66064" w14:textId="77777777" w:rsidR="00F71AAE" w:rsidRPr="00F71AAE" w:rsidRDefault="00F71AAE" w:rsidP="00F71AAE">
            <w:pPr>
              <w:rPr>
                <w:rFonts w:ascii="Calibri" w:eastAsia="Times New Roman" w:hAnsi="Calibri" w:cs="Calibri"/>
                <w:color w:val="000000"/>
                <w:kern w:val="0"/>
                <w:lang w:bidi="ta-IN"/>
                <w14:ligatures w14:val="none"/>
              </w:rPr>
            </w:pPr>
            <w:r w:rsidRPr="00F71AAE">
              <w:rPr>
                <w:rFonts w:ascii="Calibri" w:eastAsia="Times New Roman" w:hAnsi="Calibri" w:cs="Calibri"/>
                <w:color w:val="000000"/>
                <w:kern w:val="0"/>
                <w:lang w:bidi="ta-IN"/>
                <w14:ligatures w14:val="none"/>
              </w:rPr>
              <w:t xml:space="preserve">Antibiotic therapy may be discontinued if the </w:t>
            </w:r>
            <w:proofErr w:type="spellStart"/>
            <w:r w:rsidRPr="00F71AAE">
              <w:rPr>
                <w:rFonts w:ascii="Calibri" w:eastAsia="Times New Roman" w:hAnsi="Calibri" w:cs="Calibri"/>
                <w:color w:val="000000"/>
                <w:kern w:val="0"/>
                <w:lang w:bidi="ta-IN"/>
                <w14:ligatures w14:val="none"/>
              </w:rPr>
              <w:t>PCTCurrent</w:t>
            </w:r>
            <w:proofErr w:type="spellEnd"/>
            <w:r w:rsidRPr="00F71AAE">
              <w:rPr>
                <w:rFonts w:ascii="Calibri" w:eastAsia="Times New Roman" w:hAnsi="Calibri" w:cs="Calibri"/>
                <w:color w:val="000000"/>
                <w:kern w:val="0"/>
                <w:lang w:bidi="ta-IN"/>
                <w14:ligatures w14:val="none"/>
              </w:rPr>
              <w:t xml:space="preserve"> is ≤ 0.50 ng/mL or if the ΔPCT is &gt; 80%.</w:t>
            </w:r>
          </w:p>
        </w:tc>
      </w:tr>
      <w:tr w:rsidR="00F71AAE" w:rsidRPr="00F71AAE" w14:paraId="4D24D178" w14:textId="77777777" w:rsidTr="00F71AAE">
        <w:trPr>
          <w:trHeight w:val="360"/>
        </w:trPr>
        <w:tc>
          <w:tcPr>
            <w:tcW w:w="9360" w:type="dxa"/>
            <w:gridSpan w:val="2"/>
            <w:noWrap/>
            <w:hideMark/>
          </w:tcPr>
          <w:p w14:paraId="516FE804" w14:textId="77777777" w:rsidR="00F71AAE" w:rsidRPr="00F71AAE" w:rsidRDefault="00F71AAE" w:rsidP="00F71AAE">
            <w:pPr>
              <w:rPr>
                <w:rFonts w:ascii="Calibri" w:eastAsia="Times New Roman" w:hAnsi="Calibri" w:cs="Calibri"/>
                <w:color w:val="000000"/>
                <w:kern w:val="0"/>
                <w:lang w:bidi="ta-IN"/>
                <w14:ligatures w14:val="none"/>
              </w:rPr>
            </w:pPr>
            <w:proofErr w:type="spellStart"/>
            <w:r w:rsidRPr="00F71AAE">
              <w:rPr>
                <w:rFonts w:ascii="Calibri" w:eastAsia="Times New Roman" w:hAnsi="Calibri" w:cs="Calibri"/>
                <w:color w:val="000000"/>
                <w:kern w:val="0"/>
                <w:lang w:bidi="ta-IN"/>
                <w14:ligatures w14:val="none"/>
              </w:rPr>
              <w:t>ΔPCT</w:t>
            </w:r>
            <w:r w:rsidRPr="00F71AAE">
              <w:rPr>
                <w:rFonts w:ascii="Calibri" w:eastAsia="Times New Roman" w:hAnsi="Calibri" w:cs="Calibri"/>
                <w:color w:val="000000"/>
                <w:kern w:val="0"/>
                <w:vertAlign w:val="subscript"/>
                <w:lang w:bidi="ta-IN"/>
                <w14:ligatures w14:val="none"/>
              </w:rPr>
              <w:t>discontinuation</w:t>
            </w:r>
            <w:proofErr w:type="spellEnd"/>
            <w:r w:rsidRPr="00F71AAE">
              <w:rPr>
                <w:rFonts w:ascii="Calibri" w:eastAsia="Times New Roman" w:hAnsi="Calibri" w:cs="Calibri"/>
                <w:color w:val="000000"/>
                <w:kern w:val="0"/>
                <w:lang w:bidi="ta-IN"/>
                <w14:ligatures w14:val="none"/>
              </w:rPr>
              <w:t xml:space="preserve"> (</w:t>
            </w:r>
            <w:proofErr w:type="gramStart"/>
            <w:r w:rsidRPr="00F71AAE">
              <w:rPr>
                <w:rFonts w:ascii="Calibri" w:eastAsia="Times New Roman" w:hAnsi="Calibri" w:cs="Calibri"/>
                <w:color w:val="000000"/>
                <w:kern w:val="0"/>
                <w:lang w:bidi="ta-IN"/>
                <w14:ligatures w14:val="none"/>
              </w:rPr>
              <w:t>%)=</w:t>
            </w:r>
            <w:proofErr w:type="gramEnd"/>
            <w:r w:rsidRPr="00F71AAE">
              <w:rPr>
                <w:rFonts w:ascii="Calibri" w:eastAsia="Times New Roman" w:hAnsi="Calibri" w:cs="Calibri"/>
                <w:color w:val="000000"/>
                <w:kern w:val="0"/>
                <w:lang w:bidi="ta-IN"/>
                <w14:ligatures w14:val="none"/>
              </w:rPr>
              <w:t xml:space="preserve"> ((</w:t>
            </w:r>
            <w:proofErr w:type="spellStart"/>
            <w:r w:rsidRPr="00F71AAE">
              <w:rPr>
                <w:rFonts w:ascii="Calibri" w:eastAsia="Times New Roman" w:hAnsi="Calibri" w:cs="Calibri"/>
                <w:color w:val="000000"/>
                <w:kern w:val="0"/>
                <w:lang w:bidi="ta-IN"/>
                <w14:ligatures w14:val="none"/>
              </w:rPr>
              <w:t>PCT</w:t>
            </w:r>
            <w:r w:rsidRPr="00F71AAE">
              <w:rPr>
                <w:rFonts w:ascii="Calibri" w:eastAsia="Times New Roman" w:hAnsi="Calibri" w:cs="Calibri"/>
                <w:color w:val="000000"/>
                <w:kern w:val="0"/>
                <w:vertAlign w:val="subscript"/>
                <w:lang w:bidi="ta-IN"/>
                <w14:ligatures w14:val="none"/>
              </w:rPr>
              <w:t>Peak</w:t>
            </w:r>
            <w:proofErr w:type="spellEnd"/>
            <w:r w:rsidRPr="00F71AAE">
              <w:rPr>
                <w:rFonts w:ascii="Calibri" w:eastAsia="Times New Roman" w:hAnsi="Calibri" w:cs="Calibri"/>
                <w:color w:val="000000"/>
                <w:kern w:val="0"/>
                <w:lang w:bidi="ta-IN"/>
                <w14:ligatures w14:val="none"/>
              </w:rPr>
              <w:t xml:space="preserve"> – </w:t>
            </w:r>
            <w:proofErr w:type="spellStart"/>
            <w:r w:rsidRPr="00F71AAE">
              <w:rPr>
                <w:rFonts w:ascii="Calibri" w:eastAsia="Times New Roman" w:hAnsi="Calibri" w:cs="Calibri"/>
                <w:color w:val="000000"/>
                <w:kern w:val="0"/>
                <w:lang w:bidi="ta-IN"/>
                <w14:ligatures w14:val="none"/>
              </w:rPr>
              <w:t>PCT</w:t>
            </w:r>
            <w:r w:rsidRPr="00F71AAE">
              <w:rPr>
                <w:rFonts w:ascii="Calibri" w:eastAsia="Times New Roman" w:hAnsi="Calibri" w:cs="Calibri"/>
                <w:color w:val="000000"/>
                <w:kern w:val="0"/>
                <w:vertAlign w:val="subscript"/>
                <w:lang w:bidi="ta-IN"/>
                <w14:ligatures w14:val="none"/>
              </w:rPr>
              <w:t>Current</w:t>
            </w:r>
            <w:proofErr w:type="spellEnd"/>
            <w:r w:rsidRPr="00F71AAE">
              <w:rPr>
                <w:rFonts w:ascii="Calibri" w:eastAsia="Times New Roman" w:hAnsi="Calibri" w:cs="Calibri"/>
                <w:color w:val="000000"/>
                <w:kern w:val="0"/>
                <w:lang w:bidi="ta-IN"/>
                <w14:ligatures w14:val="none"/>
              </w:rPr>
              <w:t xml:space="preserve"> ) / </w:t>
            </w:r>
            <w:proofErr w:type="spellStart"/>
            <w:r w:rsidRPr="00F71AAE">
              <w:rPr>
                <w:rFonts w:ascii="Calibri" w:eastAsia="Times New Roman" w:hAnsi="Calibri" w:cs="Calibri"/>
                <w:color w:val="000000"/>
                <w:kern w:val="0"/>
                <w:lang w:bidi="ta-IN"/>
                <w14:ligatures w14:val="none"/>
              </w:rPr>
              <w:t>PCT</w:t>
            </w:r>
            <w:r w:rsidRPr="00F71AAE">
              <w:rPr>
                <w:rFonts w:ascii="Calibri" w:eastAsia="Times New Roman" w:hAnsi="Calibri" w:cs="Calibri"/>
                <w:color w:val="000000"/>
                <w:kern w:val="0"/>
                <w:vertAlign w:val="subscript"/>
                <w:lang w:bidi="ta-IN"/>
                <w14:ligatures w14:val="none"/>
              </w:rPr>
              <w:t>Peak</w:t>
            </w:r>
            <w:proofErr w:type="spellEnd"/>
            <w:r w:rsidRPr="00F71AAE">
              <w:rPr>
                <w:rFonts w:ascii="Calibri" w:eastAsia="Times New Roman" w:hAnsi="Calibri" w:cs="Calibri"/>
                <w:color w:val="000000"/>
                <w:kern w:val="0"/>
                <w:lang w:bidi="ta-IN"/>
                <w14:ligatures w14:val="none"/>
              </w:rPr>
              <w:t>) x 100</w:t>
            </w:r>
          </w:p>
        </w:tc>
      </w:tr>
      <w:tr w:rsidR="00C43258" w:rsidRPr="00F71AAE" w14:paraId="23856927" w14:textId="77777777" w:rsidTr="00173B93">
        <w:trPr>
          <w:trHeight w:val="300"/>
        </w:trPr>
        <w:tc>
          <w:tcPr>
            <w:tcW w:w="9360" w:type="dxa"/>
            <w:gridSpan w:val="2"/>
            <w:noWrap/>
            <w:hideMark/>
          </w:tcPr>
          <w:p w14:paraId="3D453816" w14:textId="2A3DA5B5" w:rsidR="00C43258" w:rsidRPr="00F71AAE" w:rsidRDefault="00C43258" w:rsidP="00F71AAE">
            <w:pPr>
              <w:rPr>
                <w:rFonts w:ascii="Times New Roman" w:eastAsia="Times New Roman" w:hAnsi="Times New Roman" w:cs="Times New Roman"/>
                <w:kern w:val="0"/>
                <w:sz w:val="20"/>
                <w:szCs w:val="20"/>
                <w:lang w:bidi="ta-IN"/>
                <w14:ligatures w14:val="none"/>
              </w:rPr>
            </w:pPr>
            <w:r w:rsidRPr="00F71AAE">
              <w:rPr>
                <w:rFonts w:ascii="Calibri" w:eastAsia="Times New Roman" w:hAnsi="Calibri" w:cs="Calibri"/>
                <w:color w:val="000000"/>
                <w:kern w:val="0"/>
                <w:lang w:bidi="ta-IN"/>
                <w14:ligatures w14:val="none"/>
              </w:rPr>
              <w:t>Follow-Up</w:t>
            </w:r>
          </w:p>
        </w:tc>
      </w:tr>
      <w:tr w:rsidR="00F71AAE" w:rsidRPr="00F71AAE" w14:paraId="6E8B7049" w14:textId="77777777" w:rsidTr="00F71AAE">
        <w:trPr>
          <w:trHeight w:val="300"/>
        </w:trPr>
        <w:tc>
          <w:tcPr>
            <w:tcW w:w="9360" w:type="dxa"/>
            <w:gridSpan w:val="2"/>
            <w:noWrap/>
            <w:hideMark/>
          </w:tcPr>
          <w:p w14:paraId="501FC9BE" w14:textId="77777777" w:rsidR="00F71AAE" w:rsidRPr="00F71AAE" w:rsidRDefault="00F71AAE" w:rsidP="00F71AAE">
            <w:pPr>
              <w:rPr>
                <w:rFonts w:ascii="Calibri" w:eastAsia="Times New Roman" w:hAnsi="Calibri" w:cs="Calibri"/>
                <w:color w:val="000000"/>
                <w:kern w:val="0"/>
                <w:lang w:bidi="ta-IN"/>
                <w14:ligatures w14:val="none"/>
              </w:rPr>
            </w:pPr>
            <w:r w:rsidRPr="00F71AAE">
              <w:rPr>
                <w:rFonts w:ascii="Calibri" w:eastAsia="Times New Roman" w:hAnsi="Calibri" w:cs="Calibri"/>
                <w:color w:val="000000"/>
                <w:kern w:val="0"/>
                <w:lang w:bidi="ta-IN"/>
                <w14:ligatures w14:val="none"/>
              </w:rPr>
              <w:t>Antibiotic therapy may be continued based upon other clinical findings, such as apparent progression on chest x-ray or ongoing/increasing toxicity.</w:t>
            </w:r>
          </w:p>
        </w:tc>
      </w:tr>
      <w:tr w:rsidR="00F71AAE" w:rsidRPr="00F71AAE" w14:paraId="4DA88AC0" w14:textId="77777777" w:rsidTr="00F71AAE">
        <w:trPr>
          <w:trHeight w:val="300"/>
        </w:trPr>
        <w:tc>
          <w:tcPr>
            <w:tcW w:w="9360" w:type="dxa"/>
            <w:gridSpan w:val="2"/>
            <w:noWrap/>
            <w:hideMark/>
          </w:tcPr>
          <w:p w14:paraId="765FA0CB" w14:textId="77777777" w:rsidR="00F71AAE" w:rsidRPr="00F71AAE" w:rsidRDefault="00F71AAE" w:rsidP="00F71AAE">
            <w:pPr>
              <w:rPr>
                <w:rFonts w:ascii="Calibri" w:eastAsia="Times New Roman" w:hAnsi="Calibri" w:cs="Calibri"/>
                <w:color w:val="000000"/>
                <w:kern w:val="0"/>
                <w:lang w:bidi="ta-IN"/>
                <w14:ligatures w14:val="none"/>
              </w:rPr>
            </w:pPr>
            <w:r w:rsidRPr="00F71AAE">
              <w:rPr>
                <w:rFonts w:ascii="Calibri" w:eastAsia="Times New Roman" w:hAnsi="Calibri" w:cs="Calibri"/>
                <w:color w:val="000000"/>
                <w:kern w:val="0"/>
                <w:lang w:bidi="ta-IN"/>
                <w14:ligatures w14:val="none"/>
              </w:rPr>
              <w:t xml:space="preserve">If clinical picture has not improved and PCT remains high, </w:t>
            </w:r>
            <w:proofErr w:type="gramStart"/>
            <w:r w:rsidRPr="00F71AAE">
              <w:rPr>
                <w:rFonts w:ascii="Calibri" w:eastAsia="Times New Roman" w:hAnsi="Calibri" w:cs="Calibri"/>
                <w:color w:val="000000"/>
                <w:kern w:val="0"/>
                <w:lang w:bidi="ta-IN"/>
                <w14:ligatures w14:val="none"/>
              </w:rPr>
              <w:t>reevaluate</w:t>
            </w:r>
            <w:proofErr w:type="gramEnd"/>
            <w:r w:rsidRPr="00F71AAE">
              <w:rPr>
                <w:rFonts w:ascii="Calibri" w:eastAsia="Times New Roman" w:hAnsi="Calibri" w:cs="Calibri"/>
                <w:color w:val="000000"/>
                <w:kern w:val="0"/>
                <w:lang w:bidi="ta-IN"/>
                <w14:ligatures w14:val="none"/>
              </w:rPr>
              <w:t xml:space="preserve"> and consider treatment failure or other causes.</w:t>
            </w:r>
          </w:p>
        </w:tc>
      </w:tr>
    </w:tbl>
    <w:p w14:paraId="62269C8E" w14:textId="77777777" w:rsidR="00F71AAE" w:rsidRDefault="00F71AAE" w:rsidP="0023705A">
      <w:pPr>
        <w:rPr>
          <w:sz w:val="32"/>
          <w:szCs w:val="32"/>
        </w:rPr>
      </w:pPr>
    </w:p>
    <w:p w14:paraId="1DA611BB" w14:textId="6C9FFB98" w:rsidR="00737A70" w:rsidRPr="00855631" w:rsidRDefault="00737A70">
      <w:pPr>
        <w:rPr>
          <w:sz w:val="32"/>
          <w:szCs w:val="32"/>
        </w:rPr>
      </w:pPr>
      <w:r w:rsidRPr="00855631">
        <w:rPr>
          <w:sz w:val="32"/>
          <w:szCs w:val="32"/>
        </w:rPr>
        <w:t>References</w:t>
      </w:r>
    </w:p>
    <w:p w14:paraId="5ABF3766" w14:textId="6AEE93EC" w:rsidR="001D401F" w:rsidRDefault="00737A70" w:rsidP="008F6F92">
      <w:pPr>
        <w:pStyle w:val="ListParagraph"/>
        <w:numPr>
          <w:ilvl w:val="0"/>
          <w:numId w:val="1"/>
        </w:numPr>
        <w:rPr>
          <w:sz w:val="32"/>
          <w:szCs w:val="32"/>
        </w:rPr>
      </w:pPr>
      <w:r w:rsidRPr="00855631">
        <w:rPr>
          <w:sz w:val="32"/>
          <w:szCs w:val="32"/>
        </w:rPr>
        <w:t xml:space="preserve">Abbott </w:t>
      </w:r>
      <w:proofErr w:type="spellStart"/>
      <w:r w:rsidRPr="00855631">
        <w:rPr>
          <w:sz w:val="32"/>
          <w:szCs w:val="32"/>
        </w:rPr>
        <w:t>Alinity</w:t>
      </w:r>
      <w:proofErr w:type="spellEnd"/>
      <w:r w:rsidRPr="00855631">
        <w:rPr>
          <w:sz w:val="32"/>
          <w:szCs w:val="32"/>
        </w:rPr>
        <w:t xml:space="preserve"> -c</w:t>
      </w:r>
      <w:r w:rsidR="00527F2C" w:rsidRPr="00855631">
        <w:rPr>
          <w:sz w:val="32"/>
          <w:szCs w:val="32"/>
        </w:rPr>
        <w:t xml:space="preserve"> </w:t>
      </w:r>
      <w:r w:rsidR="006802E4" w:rsidRPr="006802E4">
        <w:rPr>
          <w:sz w:val="32"/>
          <w:szCs w:val="32"/>
        </w:rPr>
        <w:t>B∙R∙A∙H∙M∙S PCT</w:t>
      </w:r>
      <w:r w:rsidR="006802E4">
        <w:rPr>
          <w:sz w:val="32"/>
          <w:szCs w:val="32"/>
        </w:rPr>
        <w:t xml:space="preserve"> </w:t>
      </w:r>
      <w:r w:rsidRPr="00855631">
        <w:rPr>
          <w:sz w:val="32"/>
          <w:szCs w:val="32"/>
        </w:rPr>
        <w:t xml:space="preserve">Product Insert </w:t>
      </w:r>
      <w:r w:rsidR="004420EF">
        <w:rPr>
          <w:sz w:val="32"/>
          <w:szCs w:val="32"/>
        </w:rPr>
        <w:t>(</w:t>
      </w:r>
      <w:r w:rsidR="006802E4" w:rsidRPr="006802E4">
        <w:rPr>
          <w:sz w:val="32"/>
          <w:szCs w:val="32"/>
        </w:rPr>
        <w:t>G99806R01</w:t>
      </w:r>
      <w:r w:rsidRPr="00855631">
        <w:rPr>
          <w:sz w:val="32"/>
          <w:szCs w:val="32"/>
        </w:rPr>
        <w:t>)</w:t>
      </w:r>
    </w:p>
    <w:p w14:paraId="005DE23F" w14:textId="6700D9E4" w:rsidR="00E73811" w:rsidRDefault="00E73811" w:rsidP="008F6F92">
      <w:pPr>
        <w:pStyle w:val="ListParagraph"/>
        <w:numPr>
          <w:ilvl w:val="0"/>
          <w:numId w:val="1"/>
        </w:numPr>
        <w:rPr>
          <w:sz w:val="32"/>
          <w:szCs w:val="32"/>
        </w:rPr>
      </w:pPr>
      <w:r w:rsidRPr="00E73811">
        <w:rPr>
          <w:sz w:val="32"/>
          <w:szCs w:val="32"/>
        </w:rPr>
        <w:t>Chiesa C, Panero A, Rossi N, et al. Reliability of procalcitonin concentrations for the diagnosis of sepsis in critically ill neonates. Clin Infect Dis. 1998;26(3):664-672</w:t>
      </w:r>
      <w:r>
        <w:rPr>
          <w:sz w:val="32"/>
          <w:szCs w:val="32"/>
        </w:rPr>
        <w:t>.</w:t>
      </w:r>
    </w:p>
    <w:p w14:paraId="5734CDF4" w14:textId="77777777" w:rsidR="00EC551A" w:rsidRPr="008F6F92" w:rsidRDefault="00EC551A" w:rsidP="00EC551A">
      <w:pPr>
        <w:pStyle w:val="ListParagraph"/>
        <w:rPr>
          <w:sz w:val="32"/>
          <w:szCs w:val="32"/>
        </w:rPr>
      </w:pPr>
    </w:p>
    <w:sectPr w:rsidR="00EC551A" w:rsidRPr="008F6F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660A2"/>
    <w:multiLevelType w:val="hybridMultilevel"/>
    <w:tmpl w:val="2FF8B5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32E3582"/>
    <w:multiLevelType w:val="hybridMultilevel"/>
    <w:tmpl w:val="2FF8B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8217350">
    <w:abstractNumId w:val="1"/>
  </w:num>
  <w:num w:numId="2" w16cid:durableId="1724669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4CB"/>
    <w:rsid w:val="0000000C"/>
    <w:rsid w:val="00031C00"/>
    <w:rsid w:val="00045864"/>
    <w:rsid w:val="000641B3"/>
    <w:rsid w:val="00090703"/>
    <w:rsid w:val="000A388A"/>
    <w:rsid w:val="000F12CC"/>
    <w:rsid w:val="00163F11"/>
    <w:rsid w:val="00174A66"/>
    <w:rsid w:val="001833DD"/>
    <w:rsid w:val="001867DA"/>
    <w:rsid w:val="00187ACE"/>
    <w:rsid w:val="001A774C"/>
    <w:rsid w:val="001B5E3C"/>
    <w:rsid w:val="001C1E80"/>
    <w:rsid w:val="001D401F"/>
    <w:rsid w:val="00217809"/>
    <w:rsid w:val="0023705A"/>
    <w:rsid w:val="00247391"/>
    <w:rsid w:val="00254B58"/>
    <w:rsid w:val="00284EBE"/>
    <w:rsid w:val="002A4491"/>
    <w:rsid w:val="002B7F23"/>
    <w:rsid w:val="002C6CE3"/>
    <w:rsid w:val="002E31A5"/>
    <w:rsid w:val="002F7987"/>
    <w:rsid w:val="00310BA1"/>
    <w:rsid w:val="00310F5F"/>
    <w:rsid w:val="003336CF"/>
    <w:rsid w:val="003C1B41"/>
    <w:rsid w:val="003D7EBD"/>
    <w:rsid w:val="003E4097"/>
    <w:rsid w:val="003E53D1"/>
    <w:rsid w:val="003E7344"/>
    <w:rsid w:val="003F539A"/>
    <w:rsid w:val="003F6D68"/>
    <w:rsid w:val="00411ADD"/>
    <w:rsid w:val="004420EF"/>
    <w:rsid w:val="00475003"/>
    <w:rsid w:val="004D3E92"/>
    <w:rsid w:val="00511F06"/>
    <w:rsid w:val="00527F2C"/>
    <w:rsid w:val="00533557"/>
    <w:rsid w:val="00553A27"/>
    <w:rsid w:val="005954CB"/>
    <w:rsid w:val="005C261B"/>
    <w:rsid w:val="00616894"/>
    <w:rsid w:val="00671476"/>
    <w:rsid w:val="00674BD3"/>
    <w:rsid w:val="006802E4"/>
    <w:rsid w:val="006949EF"/>
    <w:rsid w:val="006A219D"/>
    <w:rsid w:val="006B7540"/>
    <w:rsid w:val="006E0E09"/>
    <w:rsid w:val="006F6141"/>
    <w:rsid w:val="00710D1F"/>
    <w:rsid w:val="007275DB"/>
    <w:rsid w:val="00737A70"/>
    <w:rsid w:val="00760001"/>
    <w:rsid w:val="00786A71"/>
    <w:rsid w:val="007C77E2"/>
    <w:rsid w:val="007D4DC5"/>
    <w:rsid w:val="007F4C60"/>
    <w:rsid w:val="00842D77"/>
    <w:rsid w:val="00855631"/>
    <w:rsid w:val="0088409F"/>
    <w:rsid w:val="00884A80"/>
    <w:rsid w:val="008E1EFF"/>
    <w:rsid w:val="008F6F92"/>
    <w:rsid w:val="0090198A"/>
    <w:rsid w:val="009B1E4F"/>
    <w:rsid w:val="009E246F"/>
    <w:rsid w:val="00B20AFF"/>
    <w:rsid w:val="00B210CF"/>
    <w:rsid w:val="00B765C7"/>
    <w:rsid w:val="00BC0EE0"/>
    <w:rsid w:val="00BE7359"/>
    <w:rsid w:val="00C06C47"/>
    <w:rsid w:val="00C43258"/>
    <w:rsid w:val="00C73853"/>
    <w:rsid w:val="00C858C1"/>
    <w:rsid w:val="00C901BF"/>
    <w:rsid w:val="00CC4530"/>
    <w:rsid w:val="00CD1074"/>
    <w:rsid w:val="00D12A86"/>
    <w:rsid w:val="00D26803"/>
    <w:rsid w:val="00D8225F"/>
    <w:rsid w:val="00DA613A"/>
    <w:rsid w:val="00DB1141"/>
    <w:rsid w:val="00DD110C"/>
    <w:rsid w:val="00E1109F"/>
    <w:rsid w:val="00E610B2"/>
    <w:rsid w:val="00E61548"/>
    <w:rsid w:val="00E70082"/>
    <w:rsid w:val="00E73811"/>
    <w:rsid w:val="00E8047C"/>
    <w:rsid w:val="00EC551A"/>
    <w:rsid w:val="00EE00A9"/>
    <w:rsid w:val="00F64E54"/>
    <w:rsid w:val="00F71AAE"/>
    <w:rsid w:val="00FA5F58"/>
    <w:rsid w:val="00FD0F62"/>
    <w:rsid w:val="00FE4F5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E40AC"/>
  <w15:chartTrackingRefBased/>
  <w15:docId w15:val="{31B87598-C8FA-447C-AAA8-D8850B3D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5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7A70"/>
    <w:pPr>
      <w:ind w:left="720"/>
      <w:contextualSpacing/>
    </w:pPr>
  </w:style>
  <w:style w:type="character" w:styleId="Hyperlink">
    <w:name w:val="Hyperlink"/>
    <w:basedOn w:val="DefaultParagraphFont"/>
    <w:uiPriority w:val="99"/>
    <w:unhideWhenUsed/>
    <w:rsid w:val="00163F11"/>
    <w:rPr>
      <w:color w:val="0563C1" w:themeColor="hyperlink"/>
      <w:u w:val="single"/>
    </w:rPr>
  </w:style>
  <w:style w:type="character" w:styleId="UnresolvedMention">
    <w:name w:val="Unresolved Mention"/>
    <w:basedOn w:val="DefaultParagraphFont"/>
    <w:uiPriority w:val="99"/>
    <w:semiHidden/>
    <w:unhideWhenUsed/>
    <w:rsid w:val="00163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5153">
      <w:bodyDiv w:val="1"/>
      <w:marLeft w:val="0"/>
      <w:marRight w:val="0"/>
      <w:marTop w:val="0"/>
      <w:marBottom w:val="0"/>
      <w:divBdr>
        <w:top w:val="none" w:sz="0" w:space="0" w:color="auto"/>
        <w:left w:val="none" w:sz="0" w:space="0" w:color="auto"/>
        <w:bottom w:val="none" w:sz="0" w:space="0" w:color="auto"/>
        <w:right w:val="none" w:sz="0" w:space="0" w:color="auto"/>
      </w:divBdr>
    </w:div>
    <w:div w:id="71852994">
      <w:bodyDiv w:val="1"/>
      <w:marLeft w:val="0"/>
      <w:marRight w:val="0"/>
      <w:marTop w:val="0"/>
      <w:marBottom w:val="0"/>
      <w:divBdr>
        <w:top w:val="none" w:sz="0" w:space="0" w:color="auto"/>
        <w:left w:val="none" w:sz="0" w:space="0" w:color="auto"/>
        <w:bottom w:val="none" w:sz="0" w:space="0" w:color="auto"/>
        <w:right w:val="none" w:sz="0" w:space="0" w:color="auto"/>
      </w:divBdr>
    </w:div>
    <w:div w:id="95643080">
      <w:bodyDiv w:val="1"/>
      <w:marLeft w:val="0"/>
      <w:marRight w:val="0"/>
      <w:marTop w:val="0"/>
      <w:marBottom w:val="0"/>
      <w:divBdr>
        <w:top w:val="none" w:sz="0" w:space="0" w:color="auto"/>
        <w:left w:val="none" w:sz="0" w:space="0" w:color="auto"/>
        <w:bottom w:val="none" w:sz="0" w:space="0" w:color="auto"/>
        <w:right w:val="none" w:sz="0" w:space="0" w:color="auto"/>
      </w:divBdr>
    </w:div>
    <w:div w:id="101461326">
      <w:bodyDiv w:val="1"/>
      <w:marLeft w:val="0"/>
      <w:marRight w:val="0"/>
      <w:marTop w:val="0"/>
      <w:marBottom w:val="0"/>
      <w:divBdr>
        <w:top w:val="none" w:sz="0" w:space="0" w:color="auto"/>
        <w:left w:val="none" w:sz="0" w:space="0" w:color="auto"/>
        <w:bottom w:val="none" w:sz="0" w:space="0" w:color="auto"/>
        <w:right w:val="none" w:sz="0" w:space="0" w:color="auto"/>
      </w:divBdr>
    </w:div>
    <w:div w:id="153684137">
      <w:bodyDiv w:val="1"/>
      <w:marLeft w:val="0"/>
      <w:marRight w:val="0"/>
      <w:marTop w:val="0"/>
      <w:marBottom w:val="0"/>
      <w:divBdr>
        <w:top w:val="none" w:sz="0" w:space="0" w:color="auto"/>
        <w:left w:val="none" w:sz="0" w:space="0" w:color="auto"/>
        <w:bottom w:val="none" w:sz="0" w:space="0" w:color="auto"/>
        <w:right w:val="none" w:sz="0" w:space="0" w:color="auto"/>
      </w:divBdr>
    </w:div>
    <w:div w:id="165439649">
      <w:bodyDiv w:val="1"/>
      <w:marLeft w:val="0"/>
      <w:marRight w:val="0"/>
      <w:marTop w:val="0"/>
      <w:marBottom w:val="0"/>
      <w:divBdr>
        <w:top w:val="none" w:sz="0" w:space="0" w:color="auto"/>
        <w:left w:val="none" w:sz="0" w:space="0" w:color="auto"/>
        <w:bottom w:val="none" w:sz="0" w:space="0" w:color="auto"/>
        <w:right w:val="none" w:sz="0" w:space="0" w:color="auto"/>
      </w:divBdr>
    </w:div>
    <w:div w:id="208808660">
      <w:bodyDiv w:val="1"/>
      <w:marLeft w:val="0"/>
      <w:marRight w:val="0"/>
      <w:marTop w:val="0"/>
      <w:marBottom w:val="0"/>
      <w:divBdr>
        <w:top w:val="none" w:sz="0" w:space="0" w:color="auto"/>
        <w:left w:val="none" w:sz="0" w:space="0" w:color="auto"/>
        <w:bottom w:val="none" w:sz="0" w:space="0" w:color="auto"/>
        <w:right w:val="none" w:sz="0" w:space="0" w:color="auto"/>
      </w:divBdr>
    </w:div>
    <w:div w:id="209078715">
      <w:bodyDiv w:val="1"/>
      <w:marLeft w:val="0"/>
      <w:marRight w:val="0"/>
      <w:marTop w:val="0"/>
      <w:marBottom w:val="0"/>
      <w:divBdr>
        <w:top w:val="none" w:sz="0" w:space="0" w:color="auto"/>
        <w:left w:val="none" w:sz="0" w:space="0" w:color="auto"/>
        <w:bottom w:val="none" w:sz="0" w:space="0" w:color="auto"/>
        <w:right w:val="none" w:sz="0" w:space="0" w:color="auto"/>
      </w:divBdr>
    </w:div>
    <w:div w:id="223293580">
      <w:bodyDiv w:val="1"/>
      <w:marLeft w:val="0"/>
      <w:marRight w:val="0"/>
      <w:marTop w:val="0"/>
      <w:marBottom w:val="0"/>
      <w:divBdr>
        <w:top w:val="none" w:sz="0" w:space="0" w:color="auto"/>
        <w:left w:val="none" w:sz="0" w:space="0" w:color="auto"/>
        <w:bottom w:val="none" w:sz="0" w:space="0" w:color="auto"/>
        <w:right w:val="none" w:sz="0" w:space="0" w:color="auto"/>
      </w:divBdr>
    </w:div>
    <w:div w:id="481043343">
      <w:bodyDiv w:val="1"/>
      <w:marLeft w:val="0"/>
      <w:marRight w:val="0"/>
      <w:marTop w:val="0"/>
      <w:marBottom w:val="0"/>
      <w:divBdr>
        <w:top w:val="none" w:sz="0" w:space="0" w:color="auto"/>
        <w:left w:val="none" w:sz="0" w:space="0" w:color="auto"/>
        <w:bottom w:val="none" w:sz="0" w:space="0" w:color="auto"/>
        <w:right w:val="none" w:sz="0" w:space="0" w:color="auto"/>
      </w:divBdr>
    </w:div>
    <w:div w:id="484510475">
      <w:bodyDiv w:val="1"/>
      <w:marLeft w:val="0"/>
      <w:marRight w:val="0"/>
      <w:marTop w:val="0"/>
      <w:marBottom w:val="0"/>
      <w:divBdr>
        <w:top w:val="none" w:sz="0" w:space="0" w:color="auto"/>
        <w:left w:val="none" w:sz="0" w:space="0" w:color="auto"/>
        <w:bottom w:val="none" w:sz="0" w:space="0" w:color="auto"/>
        <w:right w:val="none" w:sz="0" w:space="0" w:color="auto"/>
      </w:divBdr>
    </w:div>
    <w:div w:id="492457753">
      <w:bodyDiv w:val="1"/>
      <w:marLeft w:val="0"/>
      <w:marRight w:val="0"/>
      <w:marTop w:val="0"/>
      <w:marBottom w:val="0"/>
      <w:divBdr>
        <w:top w:val="none" w:sz="0" w:space="0" w:color="auto"/>
        <w:left w:val="none" w:sz="0" w:space="0" w:color="auto"/>
        <w:bottom w:val="none" w:sz="0" w:space="0" w:color="auto"/>
        <w:right w:val="none" w:sz="0" w:space="0" w:color="auto"/>
      </w:divBdr>
    </w:div>
    <w:div w:id="506404523">
      <w:bodyDiv w:val="1"/>
      <w:marLeft w:val="0"/>
      <w:marRight w:val="0"/>
      <w:marTop w:val="0"/>
      <w:marBottom w:val="0"/>
      <w:divBdr>
        <w:top w:val="none" w:sz="0" w:space="0" w:color="auto"/>
        <w:left w:val="none" w:sz="0" w:space="0" w:color="auto"/>
        <w:bottom w:val="none" w:sz="0" w:space="0" w:color="auto"/>
        <w:right w:val="none" w:sz="0" w:space="0" w:color="auto"/>
      </w:divBdr>
    </w:div>
    <w:div w:id="528882827">
      <w:bodyDiv w:val="1"/>
      <w:marLeft w:val="0"/>
      <w:marRight w:val="0"/>
      <w:marTop w:val="0"/>
      <w:marBottom w:val="0"/>
      <w:divBdr>
        <w:top w:val="none" w:sz="0" w:space="0" w:color="auto"/>
        <w:left w:val="none" w:sz="0" w:space="0" w:color="auto"/>
        <w:bottom w:val="none" w:sz="0" w:space="0" w:color="auto"/>
        <w:right w:val="none" w:sz="0" w:space="0" w:color="auto"/>
      </w:divBdr>
    </w:div>
    <w:div w:id="575167928">
      <w:bodyDiv w:val="1"/>
      <w:marLeft w:val="0"/>
      <w:marRight w:val="0"/>
      <w:marTop w:val="0"/>
      <w:marBottom w:val="0"/>
      <w:divBdr>
        <w:top w:val="none" w:sz="0" w:space="0" w:color="auto"/>
        <w:left w:val="none" w:sz="0" w:space="0" w:color="auto"/>
        <w:bottom w:val="none" w:sz="0" w:space="0" w:color="auto"/>
        <w:right w:val="none" w:sz="0" w:space="0" w:color="auto"/>
      </w:divBdr>
    </w:div>
    <w:div w:id="631326851">
      <w:bodyDiv w:val="1"/>
      <w:marLeft w:val="0"/>
      <w:marRight w:val="0"/>
      <w:marTop w:val="0"/>
      <w:marBottom w:val="0"/>
      <w:divBdr>
        <w:top w:val="none" w:sz="0" w:space="0" w:color="auto"/>
        <w:left w:val="none" w:sz="0" w:space="0" w:color="auto"/>
        <w:bottom w:val="none" w:sz="0" w:space="0" w:color="auto"/>
        <w:right w:val="none" w:sz="0" w:space="0" w:color="auto"/>
      </w:divBdr>
    </w:div>
    <w:div w:id="659887806">
      <w:bodyDiv w:val="1"/>
      <w:marLeft w:val="0"/>
      <w:marRight w:val="0"/>
      <w:marTop w:val="0"/>
      <w:marBottom w:val="0"/>
      <w:divBdr>
        <w:top w:val="none" w:sz="0" w:space="0" w:color="auto"/>
        <w:left w:val="none" w:sz="0" w:space="0" w:color="auto"/>
        <w:bottom w:val="none" w:sz="0" w:space="0" w:color="auto"/>
        <w:right w:val="none" w:sz="0" w:space="0" w:color="auto"/>
      </w:divBdr>
    </w:div>
    <w:div w:id="672875355">
      <w:bodyDiv w:val="1"/>
      <w:marLeft w:val="0"/>
      <w:marRight w:val="0"/>
      <w:marTop w:val="0"/>
      <w:marBottom w:val="0"/>
      <w:divBdr>
        <w:top w:val="none" w:sz="0" w:space="0" w:color="auto"/>
        <w:left w:val="none" w:sz="0" w:space="0" w:color="auto"/>
        <w:bottom w:val="none" w:sz="0" w:space="0" w:color="auto"/>
        <w:right w:val="none" w:sz="0" w:space="0" w:color="auto"/>
      </w:divBdr>
    </w:div>
    <w:div w:id="709112411">
      <w:bodyDiv w:val="1"/>
      <w:marLeft w:val="0"/>
      <w:marRight w:val="0"/>
      <w:marTop w:val="0"/>
      <w:marBottom w:val="0"/>
      <w:divBdr>
        <w:top w:val="none" w:sz="0" w:space="0" w:color="auto"/>
        <w:left w:val="none" w:sz="0" w:space="0" w:color="auto"/>
        <w:bottom w:val="none" w:sz="0" w:space="0" w:color="auto"/>
        <w:right w:val="none" w:sz="0" w:space="0" w:color="auto"/>
      </w:divBdr>
    </w:div>
    <w:div w:id="739404196">
      <w:bodyDiv w:val="1"/>
      <w:marLeft w:val="0"/>
      <w:marRight w:val="0"/>
      <w:marTop w:val="0"/>
      <w:marBottom w:val="0"/>
      <w:divBdr>
        <w:top w:val="none" w:sz="0" w:space="0" w:color="auto"/>
        <w:left w:val="none" w:sz="0" w:space="0" w:color="auto"/>
        <w:bottom w:val="none" w:sz="0" w:space="0" w:color="auto"/>
        <w:right w:val="none" w:sz="0" w:space="0" w:color="auto"/>
      </w:divBdr>
    </w:div>
    <w:div w:id="761336923">
      <w:bodyDiv w:val="1"/>
      <w:marLeft w:val="0"/>
      <w:marRight w:val="0"/>
      <w:marTop w:val="0"/>
      <w:marBottom w:val="0"/>
      <w:divBdr>
        <w:top w:val="none" w:sz="0" w:space="0" w:color="auto"/>
        <w:left w:val="none" w:sz="0" w:space="0" w:color="auto"/>
        <w:bottom w:val="none" w:sz="0" w:space="0" w:color="auto"/>
        <w:right w:val="none" w:sz="0" w:space="0" w:color="auto"/>
      </w:divBdr>
    </w:div>
    <w:div w:id="783041039">
      <w:bodyDiv w:val="1"/>
      <w:marLeft w:val="0"/>
      <w:marRight w:val="0"/>
      <w:marTop w:val="0"/>
      <w:marBottom w:val="0"/>
      <w:divBdr>
        <w:top w:val="none" w:sz="0" w:space="0" w:color="auto"/>
        <w:left w:val="none" w:sz="0" w:space="0" w:color="auto"/>
        <w:bottom w:val="none" w:sz="0" w:space="0" w:color="auto"/>
        <w:right w:val="none" w:sz="0" w:space="0" w:color="auto"/>
      </w:divBdr>
    </w:div>
    <w:div w:id="870649024">
      <w:bodyDiv w:val="1"/>
      <w:marLeft w:val="0"/>
      <w:marRight w:val="0"/>
      <w:marTop w:val="0"/>
      <w:marBottom w:val="0"/>
      <w:divBdr>
        <w:top w:val="none" w:sz="0" w:space="0" w:color="auto"/>
        <w:left w:val="none" w:sz="0" w:space="0" w:color="auto"/>
        <w:bottom w:val="none" w:sz="0" w:space="0" w:color="auto"/>
        <w:right w:val="none" w:sz="0" w:space="0" w:color="auto"/>
      </w:divBdr>
    </w:div>
    <w:div w:id="882986145">
      <w:bodyDiv w:val="1"/>
      <w:marLeft w:val="0"/>
      <w:marRight w:val="0"/>
      <w:marTop w:val="0"/>
      <w:marBottom w:val="0"/>
      <w:divBdr>
        <w:top w:val="none" w:sz="0" w:space="0" w:color="auto"/>
        <w:left w:val="none" w:sz="0" w:space="0" w:color="auto"/>
        <w:bottom w:val="none" w:sz="0" w:space="0" w:color="auto"/>
        <w:right w:val="none" w:sz="0" w:space="0" w:color="auto"/>
      </w:divBdr>
    </w:div>
    <w:div w:id="887062127">
      <w:bodyDiv w:val="1"/>
      <w:marLeft w:val="0"/>
      <w:marRight w:val="0"/>
      <w:marTop w:val="0"/>
      <w:marBottom w:val="0"/>
      <w:divBdr>
        <w:top w:val="none" w:sz="0" w:space="0" w:color="auto"/>
        <w:left w:val="none" w:sz="0" w:space="0" w:color="auto"/>
        <w:bottom w:val="none" w:sz="0" w:space="0" w:color="auto"/>
        <w:right w:val="none" w:sz="0" w:space="0" w:color="auto"/>
      </w:divBdr>
    </w:div>
    <w:div w:id="930817096">
      <w:bodyDiv w:val="1"/>
      <w:marLeft w:val="0"/>
      <w:marRight w:val="0"/>
      <w:marTop w:val="0"/>
      <w:marBottom w:val="0"/>
      <w:divBdr>
        <w:top w:val="none" w:sz="0" w:space="0" w:color="auto"/>
        <w:left w:val="none" w:sz="0" w:space="0" w:color="auto"/>
        <w:bottom w:val="none" w:sz="0" w:space="0" w:color="auto"/>
        <w:right w:val="none" w:sz="0" w:space="0" w:color="auto"/>
      </w:divBdr>
    </w:div>
    <w:div w:id="958610656">
      <w:bodyDiv w:val="1"/>
      <w:marLeft w:val="0"/>
      <w:marRight w:val="0"/>
      <w:marTop w:val="0"/>
      <w:marBottom w:val="0"/>
      <w:divBdr>
        <w:top w:val="none" w:sz="0" w:space="0" w:color="auto"/>
        <w:left w:val="none" w:sz="0" w:space="0" w:color="auto"/>
        <w:bottom w:val="none" w:sz="0" w:space="0" w:color="auto"/>
        <w:right w:val="none" w:sz="0" w:space="0" w:color="auto"/>
      </w:divBdr>
    </w:div>
    <w:div w:id="992224951">
      <w:bodyDiv w:val="1"/>
      <w:marLeft w:val="0"/>
      <w:marRight w:val="0"/>
      <w:marTop w:val="0"/>
      <w:marBottom w:val="0"/>
      <w:divBdr>
        <w:top w:val="none" w:sz="0" w:space="0" w:color="auto"/>
        <w:left w:val="none" w:sz="0" w:space="0" w:color="auto"/>
        <w:bottom w:val="none" w:sz="0" w:space="0" w:color="auto"/>
        <w:right w:val="none" w:sz="0" w:space="0" w:color="auto"/>
      </w:divBdr>
    </w:div>
    <w:div w:id="1043796621">
      <w:bodyDiv w:val="1"/>
      <w:marLeft w:val="0"/>
      <w:marRight w:val="0"/>
      <w:marTop w:val="0"/>
      <w:marBottom w:val="0"/>
      <w:divBdr>
        <w:top w:val="none" w:sz="0" w:space="0" w:color="auto"/>
        <w:left w:val="none" w:sz="0" w:space="0" w:color="auto"/>
        <w:bottom w:val="none" w:sz="0" w:space="0" w:color="auto"/>
        <w:right w:val="none" w:sz="0" w:space="0" w:color="auto"/>
      </w:divBdr>
    </w:div>
    <w:div w:id="1099986296">
      <w:bodyDiv w:val="1"/>
      <w:marLeft w:val="0"/>
      <w:marRight w:val="0"/>
      <w:marTop w:val="0"/>
      <w:marBottom w:val="0"/>
      <w:divBdr>
        <w:top w:val="none" w:sz="0" w:space="0" w:color="auto"/>
        <w:left w:val="none" w:sz="0" w:space="0" w:color="auto"/>
        <w:bottom w:val="none" w:sz="0" w:space="0" w:color="auto"/>
        <w:right w:val="none" w:sz="0" w:space="0" w:color="auto"/>
      </w:divBdr>
    </w:div>
    <w:div w:id="1134371098">
      <w:bodyDiv w:val="1"/>
      <w:marLeft w:val="0"/>
      <w:marRight w:val="0"/>
      <w:marTop w:val="0"/>
      <w:marBottom w:val="0"/>
      <w:divBdr>
        <w:top w:val="none" w:sz="0" w:space="0" w:color="auto"/>
        <w:left w:val="none" w:sz="0" w:space="0" w:color="auto"/>
        <w:bottom w:val="none" w:sz="0" w:space="0" w:color="auto"/>
        <w:right w:val="none" w:sz="0" w:space="0" w:color="auto"/>
      </w:divBdr>
    </w:div>
    <w:div w:id="1145466489">
      <w:bodyDiv w:val="1"/>
      <w:marLeft w:val="0"/>
      <w:marRight w:val="0"/>
      <w:marTop w:val="0"/>
      <w:marBottom w:val="0"/>
      <w:divBdr>
        <w:top w:val="none" w:sz="0" w:space="0" w:color="auto"/>
        <w:left w:val="none" w:sz="0" w:space="0" w:color="auto"/>
        <w:bottom w:val="none" w:sz="0" w:space="0" w:color="auto"/>
        <w:right w:val="none" w:sz="0" w:space="0" w:color="auto"/>
      </w:divBdr>
    </w:div>
    <w:div w:id="1169246581">
      <w:bodyDiv w:val="1"/>
      <w:marLeft w:val="0"/>
      <w:marRight w:val="0"/>
      <w:marTop w:val="0"/>
      <w:marBottom w:val="0"/>
      <w:divBdr>
        <w:top w:val="none" w:sz="0" w:space="0" w:color="auto"/>
        <w:left w:val="none" w:sz="0" w:space="0" w:color="auto"/>
        <w:bottom w:val="none" w:sz="0" w:space="0" w:color="auto"/>
        <w:right w:val="none" w:sz="0" w:space="0" w:color="auto"/>
      </w:divBdr>
    </w:div>
    <w:div w:id="1246914835">
      <w:bodyDiv w:val="1"/>
      <w:marLeft w:val="0"/>
      <w:marRight w:val="0"/>
      <w:marTop w:val="0"/>
      <w:marBottom w:val="0"/>
      <w:divBdr>
        <w:top w:val="none" w:sz="0" w:space="0" w:color="auto"/>
        <w:left w:val="none" w:sz="0" w:space="0" w:color="auto"/>
        <w:bottom w:val="none" w:sz="0" w:space="0" w:color="auto"/>
        <w:right w:val="none" w:sz="0" w:space="0" w:color="auto"/>
      </w:divBdr>
    </w:div>
    <w:div w:id="1295019193">
      <w:bodyDiv w:val="1"/>
      <w:marLeft w:val="0"/>
      <w:marRight w:val="0"/>
      <w:marTop w:val="0"/>
      <w:marBottom w:val="0"/>
      <w:divBdr>
        <w:top w:val="none" w:sz="0" w:space="0" w:color="auto"/>
        <w:left w:val="none" w:sz="0" w:space="0" w:color="auto"/>
        <w:bottom w:val="none" w:sz="0" w:space="0" w:color="auto"/>
        <w:right w:val="none" w:sz="0" w:space="0" w:color="auto"/>
      </w:divBdr>
    </w:div>
    <w:div w:id="1349213741">
      <w:bodyDiv w:val="1"/>
      <w:marLeft w:val="0"/>
      <w:marRight w:val="0"/>
      <w:marTop w:val="0"/>
      <w:marBottom w:val="0"/>
      <w:divBdr>
        <w:top w:val="none" w:sz="0" w:space="0" w:color="auto"/>
        <w:left w:val="none" w:sz="0" w:space="0" w:color="auto"/>
        <w:bottom w:val="none" w:sz="0" w:space="0" w:color="auto"/>
        <w:right w:val="none" w:sz="0" w:space="0" w:color="auto"/>
      </w:divBdr>
    </w:div>
    <w:div w:id="1417635522">
      <w:bodyDiv w:val="1"/>
      <w:marLeft w:val="0"/>
      <w:marRight w:val="0"/>
      <w:marTop w:val="0"/>
      <w:marBottom w:val="0"/>
      <w:divBdr>
        <w:top w:val="none" w:sz="0" w:space="0" w:color="auto"/>
        <w:left w:val="none" w:sz="0" w:space="0" w:color="auto"/>
        <w:bottom w:val="none" w:sz="0" w:space="0" w:color="auto"/>
        <w:right w:val="none" w:sz="0" w:space="0" w:color="auto"/>
      </w:divBdr>
    </w:div>
    <w:div w:id="1423182103">
      <w:bodyDiv w:val="1"/>
      <w:marLeft w:val="0"/>
      <w:marRight w:val="0"/>
      <w:marTop w:val="0"/>
      <w:marBottom w:val="0"/>
      <w:divBdr>
        <w:top w:val="none" w:sz="0" w:space="0" w:color="auto"/>
        <w:left w:val="none" w:sz="0" w:space="0" w:color="auto"/>
        <w:bottom w:val="none" w:sz="0" w:space="0" w:color="auto"/>
        <w:right w:val="none" w:sz="0" w:space="0" w:color="auto"/>
      </w:divBdr>
    </w:div>
    <w:div w:id="1427918371">
      <w:bodyDiv w:val="1"/>
      <w:marLeft w:val="0"/>
      <w:marRight w:val="0"/>
      <w:marTop w:val="0"/>
      <w:marBottom w:val="0"/>
      <w:divBdr>
        <w:top w:val="none" w:sz="0" w:space="0" w:color="auto"/>
        <w:left w:val="none" w:sz="0" w:space="0" w:color="auto"/>
        <w:bottom w:val="none" w:sz="0" w:space="0" w:color="auto"/>
        <w:right w:val="none" w:sz="0" w:space="0" w:color="auto"/>
      </w:divBdr>
    </w:div>
    <w:div w:id="1478379545">
      <w:bodyDiv w:val="1"/>
      <w:marLeft w:val="0"/>
      <w:marRight w:val="0"/>
      <w:marTop w:val="0"/>
      <w:marBottom w:val="0"/>
      <w:divBdr>
        <w:top w:val="none" w:sz="0" w:space="0" w:color="auto"/>
        <w:left w:val="none" w:sz="0" w:space="0" w:color="auto"/>
        <w:bottom w:val="none" w:sz="0" w:space="0" w:color="auto"/>
        <w:right w:val="none" w:sz="0" w:space="0" w:color="auto"/>
      </w:divBdr>
    </w:div>
    <w:div w:id="1507556020">
      <w:bodyDiv w:val="1"/>
      <w:marLeft w:val="0"/>
      <w:marRight w:val="0"/>
      <w:marTop w:val="0"/>
      <w:marBottom w:val="0"/>
      <w:divBdr>
        <w:top w:val="none" w:sz="0" w:space="0" w:color="auto"/>
        <w:left w:val="none" w:sz="0" w:space="0" w:color="auto"/>
        <w:bottom w:val="none" w:sz="0" w:space="0" w:color="auto"/>
        <w:right w:val="none" w:sz="0" w:space="0" w:color="auto"/>
      </w:divBdr>
    </w:div>
    <w:div w:id="1508640483">
      <w:bodyDiv w:val="1"/>
      <w:marLeft w:val="0"/>
      <w:marRight w:val="0"/>
      <w:marTop w:val="0"/>
      <w:marBottom w:val="0"/>
      <w:divBdr>
        <w:top w:val="none" w:sz="0" w:space="0" w:color="auto"/>
        <w:left w:val="none" w:sz="0" w:space="0" w:color="auto"/>
        <w:bottom w:val="none" w:sz="0" w:space="0" w:color="auto"/>
        <w:right w:val="none" w:sz="0" w:space="0" w:color="auto"/>
      </w:divBdr>
    </w:div>
    <w:div w:id="1511018056">
      <w:bodyDiv w:val="1"/>
      <w:marLeft w:val="0"/>
      <w:marRight w:val="0"/>
      <w:marTop w:val="0"/>
      <w:marBottom w:val="0"/>
      <w:divBdr>
        <w:top w:val="none" w:sz="0" w:space="0" w:color="auto"/>
        <w:left w:val="none" w:sz="0" w:space="0" w:color="auto"/>
        <w:bottom w:val="none" w:sz="0" w:space="0" w:color="auto"/>
        <w:right w:val="none" w:sz="0" w:space="0" w:color="auto"/>
      </w:divBdr>
    </w:div>
    <w:div w:id="1517039358">
      <w:bodyDiv w:val="1"/>
      <w:marLeft w:val="0"/>
      <w:marRight w:val="0"/>
      <w:marTop w:val="0"/>
      <w:marBottom w:val="0"/>
      <w:divBdr>
        <w:top w:val="none" w:sz="0" w:space="0" w:color="auto"/>
        <w:left w:val="none" w:sz="0" w:space="0" w:color="auto"/>
        <w:bottom w:val="none" w:sz="0" w:space="0" w:color="auto"/>
        <w:right w:val="none" w:sz="0" w:space="0" w:color="auto"/>
      </w:divBdr>
    </w:div>
    <w:div w:id="1519538684">
      <w:bodyDiv w:val="1"/>
      <w:marLeft w:val="0"/>
      <w:marRight w:val="0"/>
      <w:marTop w:val="0"/>
      <w:marBottom w:val="0"/>
      <w:divBdr>
        <w:top w:val="none" w:sz="0" w:space="0" w:color="auto"/>
        <w:left w:val="none" w:sz="0" w:space="0" w:color="auto"/>
        <w:bottom w:val="none" w:sz="0" w:space="0" w:color="auto"/>
        <w:right w:val="none" w:sz="0" w:space="0" w:color="auto"/>
      </w:divBdr>
    </w:div>
    <w:div w:id="1572883804">
      <w:bodyDiv w:val="1"/>
      <w:marLeft w:val="0"/>
      <w:marRight w:val="0"/>
      <w:marTop w:val="0"/>
      <w:marBottom w:val="0"/>
      <w:divBdr>
        <w:top w:val="none" w:sz="0" w:space="0" w:color="auto"/>
        <w:left w:val="none" w:sz="0" w:space="0" w:color="auto"/>
        <w:bottom w:val="none" w:sz="0" w:space="0" w:color="auto"/>
        <w:right w:val="none" w:sz="0" w:space="0" w:color="auto"/>
      </w:divBdr>
    </w:div>
    <w:div w:id="1711149667">
      <w:bodyDiv w:val="1"/>
      <w:marLeft w:val="0"/>
      <w:marRight w:val="0"/>
      <w:marTop w:val="0"/>
      <w:marBottom w:val="0"/>
      <w:divBdr>
        <w:top w:val="none" w:sz="0" w:space="0" w:color="auto"/>
        <w:left w:val="none" w:sz="0" w:space="0" w:color="auto"/>
        <w:bottom w:val="none" w:sz="0" w:space="0" w:color="auto"/>
        <w:right w:val="none" w:sz="0" w:space="0" w:color="auto"/>
      </w:divBdr>
    </w:div>
    <w:div w:id="1713841872">
      <w:bodyDiv w:val="1"/>
      <w:marLeft w:val="0"/>
      <w:marRight w:val="0"/>
      <w:marTop w:val="0"/>
      <w:marBottom w:val="0"/>
      <w:divBdr>
        <w:top w:val="none" w:sz="0" w:space="0" w:color="auto"/>
        <w:left w:val="none" w:sz="0" w:space="0" w:color="auto"/>
        <w:bottom w:val="none" w:sz="0" w:space="0" w:color="auto"/>
        <w:right w:val="none" w:sz="0" w:space="0" w:color="auto"/>
      </w:divBdr>
    </w:div>
    <w:div w:id="1744254584">
      <w:bodyDiv w:val="1"/>
      <w:marLeft w:val="0"/>
      <w:marRight w:val="0"/>
      <w:marTop w:val="0"/>
      <w:marBottom w:val="0"/>
      <w:divBdr>
        <w:top w:val="none" w:sz="0" w:space="0" w:color="auto"/>
        <w:left w:val="none" w:sz="0" w:space="0" w:color="auto"/>
        <w:bottom w:val="none" w:sz="0" w:space="0" w:color="auto"/>
        <w:right w:val="none" w:sz="0" w:space="0" w:color="auto"/>
      </w:divBdr>
    </w:div>
    <w:div w:id="1849758291">
      <w:bodyDiv w:val="1"/>
      <w:marLeft w:val="0"/>
      <w:marRight w:val="0"/>
      <w:marTop w:val="0"/>
      <w:marBottom w:val="0"/>
      <w:divBdr>
        <w:top w:val="none" w:sz="0" w:space="0" w:color="auto"/>
        <w:left w:val="none" w:sz="0" w:space="0" w:color="auto"/>
        <w:bottom w:val="none" w:sz="0" w:space="0" w:color="auto"/>
        <w:right w:val="none" w:sz="0" w:space="0" w:color="auto"/>
      </w:divBdr>
    </w:div>
    <w:div w:id="1870756680">
      <w:bodyDiv w:val="1"/>
      <w:marLeft w:val="0"/>
      <w:marRight w:val="0"/>
      <w:marTop w:val="0"/>
      <w:marBottom w:val="0"/>
      <w:divBdr>
        <w:top w:val="none" w:sz="0" w:space="0" w:color="auto"/>
        <w:left w:val="none" w:sz="0" w:space="0" w:color="auto"/>
        <w:bottom w:val="none" w:sz="0" w:space="0" w:color="auto"/>
        <w:right w:val="none" w:sz="0" w:space="0" w:color="auto"/>
      </w:divBdr>
    </w:div>
    <w:div w:id="1871139050">
      <w:bodyDiv w:val="1"/>
      <w:marLeft w:val="0"/>
      <w:marRight w:val="0"/>
      <w:marTop w:val="0"/>
      <w:marBottom w:val="0"/>
      <w:divBdr>
        <w:top w:val="none" w:sz="0" w:space="0" w:color="auto"/>
        <w:left w:val="none" w:sz="0" w:space="0" w:color="auto"/>
        <w:bottom w:val="none" w:sz="0" w:space="0" w:color="auto"/>
        <w:right w:val="none" w:sz="0" w:space="0" w:color="auto"/>
      </w:divBdr>
    </w:div>
    <w:div w:id="1890146732">
      <w:bodyDiv w:val="1"/>
      <w:marLeft w:val="0"/>
      <w:marRight w:val="0"/>
      <w:marTop w:val="0"/>
      <w:marBottom w:val="0"/>
      <w:divBdr>
        <w:top w:val="none" w:sz="0" w:space="0" w:color="auto"/>
        <w:left w:val="none" w:sz="0" w:space="0" w:color="auto"/>
        <w:bottom w:val="none" w:sz="0" w:space="0" w:color="auto"/>
        <w:right w:val="none" w:sz="0" w:space="0" w:color="auto"/>
      </w:divBdr>
    </w:div>
    <w:div w:id="1907566303">
      <w:bodyDiv w:val="1"/>
      <w:marLeft w:val="0"/>
      <w:marRight w:val="0"/>
      <w:marTop w:val="0"/>
      <w:marBottom w:val="0"/>
      <w:divBdr>
        <w:top w:val="none" w:sz="0" w:space="0" w:color="auto"/>
        <w:left w:val="none" w:sz="0" w:space="0" w:color="auto"/>
        <w:bottom w:val="none" w:sz="0" w:space="0" w:color="auto"/>
        <w:right w:val="none" w:sz="0" w:space="0" w:color="auto"/>
      </w:divBdr>
    </w:div>
    <w:div w:id="1915121480">
      <w:bodyDiv w:val="1"/>
      <w:marLeft w:val="0"/>
      <w:marRight w:val="0"/>
      <w:marTop w:val="0"/>
      <w:marBottom w:val="0"/>
      <w:divBdr>
        <w:top w:val="none" w:sz="0" w:space="0" w:color="auto"/>
        <w:left w:val="none" w:sz="0" w:space="0" w:color="auto"/>
        <w:bottom w:val="none" w:sz="0" w:space="0" w:color="auto"/>
        <w:right w:val="none" w:sz="0" w:space="0" w:color="auto"/>
      </w:divBdr>
    </w:div>
    <w:div w:id="1932426412">
      <w:bodyDiv w:val="1"/>
      <w:marLeft w:val="0"/>
      <w:marRight w:val="0"/>
      <w:marTop w:val="0"/>
      <w:marBottom w:val="0"/>
      <w:divBdr>
        <w:top w:val="none" w:sz="0" w:space="0" w:color="auto"/>
        <w:left w:val="none" w:sz="0" w:space="0" w:color="auto"/>
        <w:bottom w:val="none" w:sz="0" w:space="0" w:color="auto"/>
        <w:right w:val="none" w:sz="0" w:space="0" w:color="auto"/>
      </w:divBdr>
    </w:div>
    <w:div w:id="2008093165">
      <w:bodyDiv w:val="1"/>
      <w:marLeft w:val="0"/>
      <w:marRight w:val="0"/>
      <w:marTop w:val="0"/>
      <w:marBottom w:val="0"/>
      <w:divBdr>
        <w:top w:val="none" w:sz="0" w:space="0" w:color="auto"/>
        <w:left w:val="none" w:sz="0" w:space="0" w:color="auto"/>
        <w:bottom w:val="none" w:sz="0" w:space="0" w:color="auto"/>
        <w:right w:val="none" w:sz="0" w:space="0" w:color="auto"/>
      </w:divBdr>
    </w:div>
    <w:div w:id="2048601286">
      <w:bodyDiv w:val="1"/>
      <w:marLeft w:val="0"/>
      <w:marRight w:val="0"/>
      <w:marTop w:val="0"/>
      <w:marBottom w:val="0"/>
      <w:divBdr>
        <w:top w:val="none" w:sz="0" w:space="0" w:color="auto"/>
        <w:left w:val="none" w:sz="0" w:space="0" w:color="auto"/>
        <w:bottom w:val="none" w:sz="0" w:space="0" w:color="auto"/>
        <w:right w:val="none" w:sz="0" w:space="0" w:color="auto"/>
      </w:divBdr>
    </w:div>
    <w:div w:id="2075278730">
      <w:bodyDiv w:val="1"/>
      <w:marLeft w:val="0"/>
      <w:marRight w:val="0"/>
      <w:marTop w:val="0"/>
      <w:marBottom w:val="0"/>
      <w:divBdr>
        <w:top w:val="none" w:sz="0" w:space="0" w:color="auto"/>
        <w:left w:val="none" w:sz="0" w:space="0" w:color="auto"/>
        <w:bottom w:val="none" w:sz="0" w:space="0" w:color="auto"/>
        <w:right w:val="none" w:sz="0" w:space="0" w:color="auto"/>
      </w:divBdr>
    </w:div>
    <w:div w:id="2085371205">
      <w:bodyDiv w:val="1"/>
      <w:marLeft w:val="0"/>
      <w:marRight w:val="0"/>
      <w:marTop w:val="0"/>
      <w:marBottom w:val="0"/>
      <w:divBdr>
        <w:top w:val="none" w:sz="0" w:space="0" w:color="auto"/>
        <w:left w:val="none" w:sz="0" w:space="0" w:color="auto"/>
        <w:bottom w:val="none" w:sz="0" w:space="0" w:color="auto"/>
        <w:right w:val="none" w:sz="0" w:space="0" w:color="auto"/>
      </w:divBdr>
    </w:div>
    <w:div w:id="2089768735">
      <w:bodyDiv w:val="1"/>
      <w:marLeft w:val="0"/>
      <w:marRight w:val="0"/>
      <w:marTop w:val="0"/>
      <w:marBottom w:val="0"/>
      <w:divBdr>
        <w:top w:val="none" w:sz="0" w:space="0" w:color="auto"/>
        <w:left w:val="none" w:sz="0" w:space="0" w:color="auto"/>
        <w:bottom w:val="none" w:sz="0" w:space="0" w:color="auto"/>
        <w:right w:val="none" w:sz="0" w:space="0" w:color="auto"/>
      </w:divBdr>
    </w:div>
    <w:div w:id="2103451201">
      <w:bodyDiv w:val="1"/>
      <w:marLeft w:val="0"/>
      <w:marRight w:val="0"/>
      <w:marTop w:val="0"/>
      <w:marBottom w:val="0"/>
      <w:divBdr>
        <w:top w:val="none" w:sz="0" w:space="0" w:color="auto"/>
        <w:left w:val="none" w:sz="0" w:space="0" w:color="auto"/>
        <w:bottom w:val="none" w:sz="0" w:space="0" w:color="auto"/>
        <w:right w:val="none" w:sz="0" w:space="0" w:color="auto"/>
      </w:divBdr>
    </w:div>
    <w:div w:id="213459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Summa Health System</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Palamalai, Vikram</dc:creator>
  <cp:keywords/>
  <dc:description/>
  <cp:lastModifiedBy>Palamalai, Vikram</cp:lastModifiedBy>
  <cp:revision>8</cp:revision>
  <dcterms:created xsi:type="dcterms:W3CDTF">2024-03-17T02:09:00Z</dcterms:created>
  <dcterms:modified xsi:type="dcterms:W3CDTF">2024-05-29T19:32:00Z</dcterms:modified>
</cp:coreProperties>
</file>